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nl95rjrsmvkl" w:id="0"/>
      <w:bookmarkEnd w:id="0"/>
      <w:r w:rsidDel="00000000" w:rsidR="00000000" w:rsidRPr="00000000">
        <w:rPr>
          <w:rtl w:val="0"/>
        </w:rPr>
        <w:t xml:space="preserve">LEGAL REMEDIES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&amp; Custody Held Separately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File guardianship petition to formalize/contest guardian's role; seek visitation if access is denied.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s.7, s.12 (visitation); FCA 1964 s.5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&amp; Custody Held Together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Consolidated petition seeking both roles in one person; if misused, other party can seek removal or modification.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s.7, s.17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 of Guardian Other Than Parents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Petition by relative/interested person where parents deceased, missing, or unfit.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s.8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 — Father Alive and Fit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If bypassing father, must affirmatively prove his unfitness; father can resist appointment of any other guardian.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s.19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Removal or Refusal of Guardian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Application for removal on grounds of neglect, harm, adverse interest, or incapacity; Court may refuse appointment at the outset on same grounds.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s.17 (welfare-based removal/refusal)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 Orders During Proceedings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Application for production of minor, temporary custody, interim visitation, or restraint on removal from jurisdiction/Pakistan.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s.12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of Minor to Rightful Guardian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Application under s.25 where minor has been taken away/retained; Court orders return only if consistent with welfare.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s.25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Guardianship Order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Fresh application showing genuine change in circumstances (neglect, unsafe conditions, changed needs).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s.17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 Against Guardianship Order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Remedy: Memorandum of appeal + stay application to protect interim arrangement pending appeal.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Ref: GWA 1890 s.47; FCA 1964 s.14; limitation ~30 days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