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szz8911v7bcn" w:id="0"/>
      <w:bookmarkEnd w:id="0"/>
      <w:r w:rsidDel="00000000" w:rsidR="00000000" w:rsidRPr="00000000">
        <w:rPr>
          <w:rtl w:val="0"/>
        </w:rPr>
        <w:t xml:space="preserve"> SCENARIOS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Guardianship and Custody Held by Separate Persons (e.g., after divorce — mother has custody, father remains guardian)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Guardianship and Custody Held by the Same Person (father, mother, or relative holds both roles)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of Guardian Other Than Parents (parents deceased, missing, unfit, or unable)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 on Appointing a Guardian While Father Is Alive and Fit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or Refusal of an Existing Guardian (neglect, harm, adverse interest, incapacity)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Orders During Pendency of Guardianship Proceedings (production, temporary custody, visitation, restraint on removal)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of Minor to Guardian Entitled to Custody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of an Existing Guardianship Order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Against a Guardianship Order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