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huiwctncc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JURISDICTION — ORIGINAL, APPELLATE, TERRITORIAL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2, FCA 1964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Non-appealable — Section 14(2)(a), FCA 1964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2, FCA 1964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Decree itself non-appealable — Section 14(2)(a), FCA 1964; ancillary matters appealable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2, FCA 1964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30 days — Section 14, FCA 1964 read with Article 155, Limitation Act, 1908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2, FCA 1964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30 days — Section 14, FCA 1964 read with Article 155, Limitation Act, 1908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2, FCA 1964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30 days — Section 14, FCA 1964 read with Article 155, Limitation Act, 1908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acting as District Court — Section 25, FCA 1964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ordinarily resides — Rule 6, 1965 Rules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Within 30 days — Section 14, FCA 1964 read with Article 155, Limitation Act, 1908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Original/Administrative: Union Council (Chairman/Arbitration Council) — Section 7, MFLO 1961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Concerned Union Council receiving decree — Section 21, FCA 1964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Not applicable at this stage — Section 14(2)(a), FCA 1964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(order appealed from): Family Court — Section 5 r/w Schedule Item 2, FCA 1964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Per the Family Court's jurisdiction — Rule 6, 1965 Rules read with Section 14, FCA 1964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Lahore High Court (if District/Additional District Judge presided) or District Court (other cases) — Section 14, FCA 1964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