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ou31nwww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REMEDIES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decree of dissolution on passing — Section 10(5)-(6), FCA 1964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Restitution of prompt dower/forfeiture of deferred dower where no fault proved — PLD 2022 FSC 25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appeal available to husband to restore marriage — Section 14(2)(a), FCA 1964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retention of dower where fault proved — Section 10(5)-(6), FCA 1964 read with PLD 2022 FSC 25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Decree of dissolution, non-appealable — Section 14(2)(a), FCA 1964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determination and order of restitution — Section 10(5)-(6), FCA 1964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to Lahore High Court/District Court — Section 14, FCA 1964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order for return/recovery of articles — Section 5, DMMA 1939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on valuation/return — Section 14, FCA 1964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Interim maintenance order — Section 17A(1), FCA 1964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to Lahore High Court/District Court — Section 14,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Custody order by Family Court — Section 25, FCA 1964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to Lahore High Court/District Court — Section 14, FCA 1964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Issuance of Certificate of Effectiveness of Divorce — Section 7, MFLO 1961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Two-stage finality: judicial decree + administrative certificate after 90 days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Appeal to Lahore High Court or District Court depending on presiding officer — Section 14, FCA 1964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