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gauz59kzg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Pure Khula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Appearance/written statement within 15 days — Section 8 &amp; 9, FCA 1964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after written statement — Section 10(3), FCA 1964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Decree without prolonged trial if wife persists — Section 10(4), FCA 1964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 decided within 6 months — Section 12A, FCA 1964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Fault-Based Dissolution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statement within 15 days, one adjournment up to 15 days — Section 9, FCA 1964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recorded where grounds contested — Section 11, FCA 1964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 decided within 6 months — Section 12A, FCA 1964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Recovery of Haq Mehr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Decided with main suit within 6 months — Section 12A, FCA 1964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within 30 days — Article 155, Limitation Act, 1908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Recovery of Dowry Articles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Decided with main suit within 6 months — Section 12A, FCA 1964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within 30 days — Article 155, Limitation Act, 1908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Interim maintenance fixed on date of first appearance — Section 17A(1), FCA 1964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determination within 6 months — Section 12A, FCA 1964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Child Custody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Decided with main suit within 6 months — Section 12A, FCA 1964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within 30 days — Article 155, Limitation Act, 1908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Execution / Iddat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transmitted after decree — Section 21, FCA 1964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Iddat from Union Council's receipt of decree — Section 7, MFLO 1961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Iddat continues till delivery if wife pregnant — Section 7, MFLO 1961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Effectiveness on expiry of 90 days — Section 7, MFLO 1961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Appeal on Ancillary Matters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Filed within 30 days — Section 14, FCA 1964 read with Article 155, Limitation Act, 1908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