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hhjoy3oq0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APPLICABLE LAWS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Wife's Claim During Subsisting Marriage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Muslim Personal Law — husband is legally and religiously bound to maintain his wife during subsisting wedlock; this is the cause of action itself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5, FCA 1964 r/w Schedule Item 3 — exclusive jurisdiction of Family Court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Mother/Guardian's Claim for Minor Children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Muslim Personal Law — father is primarily liable to maintain minor children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7, FCA 1964 — mother/guardian entitled to sue on behalf of children; may be joined with wife's own claim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Arrears of Maintenance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law of limitation as applied to family suits — arrears generally claimed for 3 years preceding the suit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7(2), FCA 1964 — plaint must state the period from which maintenance is claimed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Fixation of Interim Maintenance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17A(1), FCA 1964 — mandatory fixation of interim maintenance for wife and children on the date of first appearance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Default in Payment of Interim Maintenance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17A(1), FCA 1964 — penalty provision: non-payment within 14 days of order, or by the 14th of each subsequent month, results in defence being struck off and suit being decreed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Enhancement / Statutory Annual Increase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17A(2), FCA 1964 — Court's power to grant more than claimed and to order annual increase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17A(3), FCA 1964 (Punjab) — automatic 15% annual increase where decree is silent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Alternate Remedy via Arbitration Council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9, Muslim Family Laws Ordinance (MFLO), 1961 — provides an alternate remedy through the Arbitration Council; expressly not a bar to filing suit before the Family Court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Execution of Decree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13, FCA 1964 — execution as arrears of land revenue, attachment of salary/bank account/property, instalments, coercive measures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Appeal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14, FCA 1964 — right of appeal, forum, and monetary bar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155, Limitation Act, 1908 — 30-day limitation for appeal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