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q43fridy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REQUIRED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Wife's Claim During Subsisting Marriage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with Nikahnama details, date/reason of separation, defendant's income/assets, amount claimed with justification — Section 7(2), FCA 1964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Nikahnama, CNIC, proof of income of defendant, legal notice (if issued)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Mother/Guardian's Claim for Minor Children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Names, ages, and B-Forms of children with custody status — Section 7(2), FCA 1964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guardianship/custody where claim is brought by someone other than the mother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Arrears of Maintenance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 specifying the period from which maintenance is claimed — Section 7(2), FCA 1964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date of refusal to maintain or date of separation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Fixation of Interim Maintenance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plaint and preliminary material already on record; no separate application ordinarily required — Section 17A(1), FCA 1964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Default in Payment of Interim Maintenance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of non-payment within the stipulated 14-day/monthly window — Section 17A(1), FCA 1964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Enhancement / Statutory Annual Increase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of defendant's means, inflation, and standard of living, relevant to enhancement — Section 17A(2), FCA 1964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slips, bank statements, tax records summoned by Court — Section 17A(4),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Alternate Remedy via Arbitration Council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Application/notice to the Union Council under Section 9, MFLO 1961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of Decree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decree — Section 13, FCA 1964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Appeal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the decree/order appealed against — Section 14, FCA 1964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