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ynyk9ascn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REMEDIES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Wife's Claim During Subsisting Marriage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Decree for maintenance against the husband — Section 12, FCA 1964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Mother/Guardian's Claim for Minor Children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Decree for maintenance of each child, determined individually — Section 17A(2), FCA 1964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Arrears of Maintenance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Decree covering arrears for the permissible period, alongside future maintenance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Fixation of Interim Maintenance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Interim maintenance order operating as an immediate remedy pending final decree — Section 17A(1), FCA 1964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Default in Payment of Interim Maintenance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Automatic decree of the suit in the plaintiff's favour where the defendant defaults — Section 17A(1), FCA 1964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Enhancement / Statutory Annual Increase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Built-in inflation protection through automatic 15% annual increase — Section 17A(3), FCA 1964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Alternate Remedy via Arbitration Council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Possibility of resolution through Arbitration Council proceedings under Section 9, MFLO 1961, as an alternative or parallel track to litigation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 of Decree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through recovery as arrears of land revenue, attachment of salary/bank account/property, instalments, and coercive measures — Section 13,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Appeal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Appeal to Lahore High Court/District Court where the monthly maintenance exceeds Rs. 10,000, decided within 4 months — Section 14, FCA 1964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