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4BD3DB" w14:textId="109F1476" w:rsidR="00907E38" w:rsidRDefault="00907E38" w:rsidP="00907E38">
      <w:pPr>
        <w:rPr>
          <w:b/>
          <w:bCs/>
          <w:noProof/>
          <w:u w:val="single"/>
        </w:rPr>
      </w:pPr>
      <w:bookmarkStart w:id="0" w:name="pakistan-family-law-system-question-bank"/>
      <w:bookmarkStart w:id="1" w:name="module-4-restitution-of-conjugal-rights"/>
      <w:bookmarkStart w:id="2" w:name="X3e4d5f94f4776694fe2e682dad2a0119cb57032"/>
      <w:r w:rsidRPr="00907E38">
        <w:rPr>
          <w:b/>
          <w:bCs/>
          <w:noProof/>
          <w:u w:val="single"/>
        </w:rPr>
        <w:t>Question bank</w:t>
      </w:r>
      <w:bookmarkStart w:id="3" w:name="module-5-maintenance"/>
      <w:bookmarkEnd w:id="2"/>
      <w:bookmarkEnd w:id="1"/>
    </w:p>
    <w:p w14:paraId="36346E31" w14:textId="144E70D8" w:rsidR="00E13E11" w:rsidRPr="00907E38" w:rsidRDefault="00C869EB" w:rsidP="00907E38">
      <w:pPr>
        <w:rPr>
          <w:b/>
          <w:bCs/>
          <w:u w:val="single"/>
        </w:rPr>
      </w:pPr>
      <w:r w:rsidRPr="00907E38">
        <w:rPr>
          <w:b/>
          <w:bCs/>
          <w:u w:val="single"/>
        </w:rPr>
        <w:t xml:space="preserve"> MAINTENANCE</w:t>
      </w:r>
    </w:p>
    <w:p w14:paraId="14742E29" w14:textId="1F18B687" w:rsidR="00E13E11" w:rsidRDefault="00C869EB">
      <w:pPr>
        <w:pStyle w:val="Heading3"/>
      </w:pPr>
      <w:bookmarkStart w:id="4" w:name="wife-1"/>
      <w:r>
        <w:t>Wife</w:t>
      </w:r>
    </w:p>
    <w:tbl>
      <w:tblPr>
        <w:tblStyle w:val="Table"/>
        <w:tblW w:w="5000" w:type="pct"/>
        <w:tblLook w:val="0020" w:firstRow="1" w:lastRow="0" w:firstColumn="0" w:lastColumn="0" w:noHBand="0" w:noVBand="0"/>
      </w:tblPr>
      <w:tblGrid>
        <w:gridCol w:w="390"/>
        <w:gridCol w:w="2341"/>
        <w:gridCol w:w="3972"/>
        <w:gridCol w:w="2647"/>
      </w:tblGrid>
      <w:tr w:rsidR="00E13E11" w14:paraId="4A39D4B1" w14:textId="77777777" w:rsidTr="00E13E11">
        <w:trPr>
          <w:cnfStyle w:val="100000000000" w:firstRow="1" w:lastRow="0" w:firstColumn="0" w:lastColumn="0" w:oddVBand="0" w:evenVBand="0" w:oddHBand="0" w:evenHBand="0" w:firstRowFirstColumn="0" w:firstRowLastColumn="0" w:lastRowFirstColumn="0" w:lastRowLastColumn="0"/>
        </w:trPr>
        <w:tc>
          <w:tcPr>
            <w:tcW w:w="0" w:type="auto"/>
          </w:tcPr>
          <w:p w14:paraId="481BA500" w14:textId="77777777" w:rsidR="00E13E11" w:rsidRDefault="00C869EB">
            <w:pPr>
              <w:pStyle w:val="Compact"/>
            </w:pPr>
            <w:r>
              <w:t>#</w:t>
            </w:r>
          </w:p>
        </w:tc>
        <w:tc>
          <w:tcPr>
            <w:tcW w:w="0" w:type="auto"/>
          </w:tcPr>
          <w:p w14:paraId="6795BD20" w14:textId="77777777" w:rsidR="00E13E11" w:rsidRDefault="00C869EB">
            <w:pPr>
              <w:pStyle w:val="Compact"/>
            </w:pPr>
            <w:r>
              <w:t>Question</w:t>
            </w:r>
          </w:p>
        </w:tc>
        <w:tc>
          <w:tcPr>
            <w:tcW w:w="0" w:type="auto"/>
          </w:tcPr>
          <w:p w14:paraId="76856371" w14:textId="77777777" w:rsidR="00E13E11" w:rsidRDefault="00C869EB">
            <w:pPr>
              <w:pStyle w:val="Compact"/>
            </w:pPr>
            <w:r>
              <w:t>Answer</w:t>
            </w:r>
          </w:p>
        </w:tc>
        <w:tc>
          <w:tcPr>
            <w:tcW w:w="0" w:type="auto"/>
          </w:tcPr>
          <w:p w14:paraId="7644D8B0" w14:textId="77777777" w:rsidR="00E13E11" w:rsidRDefault="00C869EB">
            <w:pPr>
              <w:pStyle w:val="Compact"/>
            </w:pPr>
            <w:r>
              <w:t>Law Reference</w:t>
            </w:r>
          </w:p>
        </w:tc>
      </w:tr>
      <w:tr w:rsidR="00E13E11" w14:paraId="205F2FE1" w14:textId="77777777">
        <w:tc>
          <w:tcPr>
            <w:tcW w:w="0" w:type="auto"/>
          </w:tcPr>
          <w:p w14:paraId="27A174C7" w14:textId="77777777" w:rsidR="00E13E11" w:rsidRDefault="00C869EB">
            <w:pPr>
              <w:pStyle w:val="Compact"/>
            </w:pPr>
            <w:r>
              <w:t>1</w:t>
            </w:r>
          </w:p>
        </w:tc>
        <w:tc>
          <w:tcPr>
            <w:tcW w:w="0" w:type="auto"/>
          </w:tcPr>
          <w:p w14:paraId="7809AE09" w14:textId="77777777" w:rsidR="00E13E11" w:rsidRDefault="00C869EB">
            <w:pPr>
              <w:pStyle w:val="Compact"/>
            </w:pPr>
            <w:r>
              <w:t>On what grounds can a wife claim maintenance?</w:t>
            </w:r>
          </w:p>
        </w:tc>
        <w:tc>
          <w:tcPr>
            <w:tcW w:w="0" w:type="auto"/>
          </w:tcPr>
          <w:p w14:paraId="266694DE" w14:textId="77777777" w:rsidR="00E13E11" w:rsidRDefault="00C869EB">
            <w:pPr>
              <w:pStyle w:val="Compact"/>
            </w:pPr>
            <w:r>
              <w:t xml:space="preserve">As an incident of a subsisting marriage, and during </w:t>
            </w:r>
            <w:proofErr w:type="spellStart"/>
            <w:r>
              <w:t>Iddat</w:t>
            </w:r>
            <w:proofErr w:type="spellEnd"/>
            <w:r>
              <w:t xml:space="preserve"> after divorce; also where the husband neglects or refuses to maintain her despite having the means to do so.</w:t>
            </w:r>
          </w:p>
        </w:tc>
        <w:tc>
          <w:tcPr>
            <w:tcW w:w="0" w:type="auto"/>
          </w:tcPr>
          <w:p w14:paraId="4869DD64" w14:textId="77777777" w:rsidR="00E13E11" w:rsidRDefault="00C869EB">
            <w:pPr>
              <w:pStyle w:val="Compact"/>
            </w:pPr>
            <w:r>
              <w:t xml:space="preserve">MFLO 1961, s.9; Islamic law principle of </w:t>
            </w:r>
            <w:proofErr w:type="spellStart"/>
            <w:r>
              <w:t>Nafaqa</w:t>
            </w:r>
            <w:proofErr w:type="spellEnd"/>
          </w:p>
        </w:tc>
      </w:tr>
      <w:tr w:rsidR="00E13E11" w14:paraId="5B9DABF3" w14:textId="77777777">
        <w:tc>
          <w:tcPr>
            <w:tcW w:w="0" w:type="auto"/>
          </w:tcPr>
          <w:p w14:paraId="7EBC8973" w14:textId="77777777" w:rsidR="00E13E11" w:rsidRDefault="00C869EB">
            <w:pPr>
              <w:pStyle w:val="Compact"/>
            </w:pPr>
            <w:r>
              <w:t>2</w:t>
            </w:r>
          </w:p>
        </w:tc>
        <w:tc>
          <w:tcPr>
            <w:tcW w:w="0" w:type="auto"/>
          </w:tcPr>
          <w:p w14:paraId="21F20241" w14:textId="77777777" w:rsidR="00E13E11" w:rsidRDefault="00C869EB">
            <w:pPr>
              <w:pStyle w:val="Compact"/>
            </w:pPr>
            <w:r>
              <w:t>Can a wife who is “disobedient” (</w:t>
            </w:r>
            <w:proofErr w:type="spellStart"/>
            <w:r>
              <w:t>Nashiza</w:t>
            </w:r>
            <w:proofErr w:type="spellEnd"/>
            <w:r>
              <w:t>) claim maintenance?</w:t>
            </w:r>
          </w:p>
        </w:tc>
        <w:tc>
          <w:tcPr>
            <w:tcW w:w="0" w:type="auto"/>
          </w:tcPr>
          <w:p w14:paraId="5C4D4CA8" w14:textId="77777777" w:rsidR="00E13E11" w:rsidRDefault="00C869EB">
            <w:pPr>
              <w:pStyle w:val="Compact"/>
            </w:pPr>
            <w:r>
              <w:t>Maintenance can generally be refused if she is, without lawful cause, not obeying or living with the husband, though courts examine the reason for disobedience carefully, since cruelty is treated as a valid excuse.</w:t>
            </w:r>
          </w:p>
        </w:tc>
        <w:tc>
          <w:tcPr>
            <w:tcW w:w="0" w:type="auto"/>
          </w:tcPr>
          <w:p w14:paraId="1C82A918" w14:textId="77777777" w:rsidR="00E13E11" w:rsidRDefault="00C869EB">
            <w:pPr>
              <w:pStyle w:val="Compact"/>
            </w:pPr>
            <w:r>
              <w:t>MFLO 1961, s.9(1) proviso; case law</w:t>
            </w:r>
          </w:p>
        </w:tc>
      </w:tr>
      <w:tr w:rsidR="00E13E11" w14:paraId="527F6CD8" w14:textId="77777777">
        <w:tc>
          <w:tcPr>
            <w:tcW w:w="0" w:type="auto"/>
          </w:tcPr>
          <w:p w14:paraId="4ADA65E3" w14:textId="77777777" w:rsidR="00E13E11" w:rsidRDefault="00C869EB">
            <w:pPr>
              <w:pStyle w:val="Compact"/>
            </w:pPr>
            <w:r>
              <w:t>3</w:t>
            </w:r>
          </w:p>
        </w:tc>
        <w:tc>
          <w:tcPr>
            <w:tcW w:w="0" w:type="auto"/>
          </w:tcPr>
          <w:p w14:paraId="3783A2C9" w14:textId="77777777" w:rsidR="00E13E11" w:rsidRDefault="00C869EB">
            <w:pPr>
              <w:pStyle w:val="Compact"/>
            </w:pPr>
            <w:r>
              <w:t>How is the quantum of maintenance determined?</w:t>
            </w:r>
          </w:p>
        </w:tc>
        <w:tc>
          <w:tcPr>
            <w:tcW w:w="0" w:type="auto"/>
          </w:tcPr>
          <w:p w14:paraId="5008D362" w14:textId="77777777" w:rsidR="00E13E11" w:rsidRDefault="00C869EB">
            <w:pPr>
              <w:pStyle w:val="Compact"/>
            </w:pPr>
            <w:r>
              <w:t>Based on the husband’s income and means and the wife’s reasonable needs and status; the Family Court fixes the amount, which can be enhanced or reduced on changed circumstances.</w:t>
            </w:r>
          </w:p>
        </w:tc>
        <w:tc>
          <w:tcPr>
            <w:tcW w:w="0" w:type="auto"/>
          </w:tcPr>
          <w:p w14:paraId="7DA232AF" w14:textId="77777777" w:rsidR="00E13E11" w:rsidRDefault="00C869EB">
            <w:pPr>
              <w:pStyle w:val="Compact"/>
            </w:pPr>
            <w:r>
              <w:t>Family Courts Act 1964, s.17A/Schedule; MFLO 1961, s.9</w:t>
            </w:r>
          </w:p>
        </w:tc>
      </w:tr>
      <w:tr w:rsidR="00E13E11" w14:paraId="5B2917EA" w14:textId="77777777">
        <w:tc>
          <w:tcPr>
            <w:tcW w:w="0" w:type="auto"/>
          </w:tcPr>
          <w:p w14:paraId="7D7F6B50" w14:textId="77777777" w:rsidR="00E13E11" w:rsidRDefault="00C869EB">
            <w:pPr>
              <w:pStyle w:val="Compact"/>
            </w:pPr>
            <w:r>
              <w:t>4</w:t>
            </w:r>
          </w:p>
        </w:tc>
        <w:tc>
          <w:tcPr>
            <w:tcW w:w="0" w:type="auto"/>
          </w:tcPr>
          <w:p w14:paraId="1C44DBE5" w14:textId="77777777" w:rsidR="00E13E11" w:rsidRDefault="00C869EB">
            <w:pPr>
              <w:pStyle w:val="Compact"/>
            </w:pPr>
            <w:r>
              <w:t>Can maintenance be claimed for the period a maintenance suit is pending, that is, interim maintenance?</w:t>
            </w:r>
          </w:p>
        </w:tc>
        <w:tc>
          <w:tcPr>
            <w:tcW w:w="0" w:type="auto"/>
          </w:tcPr>
          <w:p w14:paraId="18B48F06" w14:textId="77777777" w:rsidR="00E13E11" w:rsidRDefault="00C869EB">
            <w:pPr>
              <w:pStyle w:val="Compact"/>
            </w:pPr>
            <w:r>
              <w:t>Yes. Family Courts can, and are directed to, grant interim maintenance at the first hearing pending final decision.</w:t>
            </w:r>
          </w:p>
        </w:tc>
        <w:tc>
          <w:tcPr>
            <w:tcW w:w="0" w:type="auto"/>
          </w:tcPr>
          <w:p w14:paraId="61DFA0CF" w14:textId="77777777" w:rsidR="00E13E11" w:rsidRDefault="00C869EB">
            <w:pPr>
              <w:pStyle w:val="Compact"/>
            </w:pPr>
            <w:r>
              <w:t>Family Courts Act 1964, s.17A, as inserted and amended; provincial amendments mandating interim maintenance</w:t>
            </w:r>
          </w:p>
        </w:tc>
      </w:tr>
      <w:tr w:rsidR="00E13E11" w14:paraId="25062E34" w14:textId="77777777">
        <w:tc>
          <w:tcPr>
            <w:tcW w:w="0" w:type="auto"/>
          </w:tcPr>
          <w:p w14:paraId="5287495E" w14:textId="77777777" w:rsidR="00E13E11" w:rsidRDefault="00C869EB">
            <w:pPr>
              <w:pStyle w:val="Compact"/>
            </w:pPr>
            <w:r>
              <w:t>5</w:t>
            </w:r>
          </w:p>
        </w:tc>
        <w:tc>
          <w:tcPr>
            <w:tcW w:w="0" w:type="auto"/>
          </w:tcPr>
          <w:p w14:paraId="2B16816D" w14:textId="77777777" w:rsidR="00E13E11" w:rsidRDefault="00C869EB">
            <w:pPr>
              <w:pStyle w:val="Compact"/>
            </w:pPr>
            <w:r>
              <w:t>What changed in the law on interim maintenance after the 2015 amendment?</w:t>
            </w:r>
          </w:p>
        </w:tc>
        <w:tc>
          <w:tcPr>
            <w:tcW w:w="0" w:type="auto"/>
          </w:tcPr>
          <w:p w14:paraId="19700A1E" w14:textId="77777777" w:rsidR="00E13E11" w:rsidRDefault="00C869EB">
            <w:pPr>
              <w:pStyle w:val="Compact"/>
            </w:pPr>
            <w:r>
              <w:t>Section 17-A was substituted so that the Family Court must, not merely may, fix interim monthly maintenance for the wife and child on the date of the defendant’s first appearance; if the defendant defaults by the fourteenth of any month, his defence stands struck off and the suit is decreed on the plaint and supporting documents alone.</w:t>
            </w:r>
          </w:p>
        </w:tc>
        <w:tc>
          <w:tcPr>
            <w:tcW w:w="0" w:type="auto"/>
          </w:tcPr>
          <w:p w14:paraId="7A40DA5D" w14:textId="77777777" w:rsidR="00E13E11" w:rsidRDefault="00C869EB">
            <w:pPr>
              <w:pStyle w:val="Compact"/>
            </w:pPr>
            <w:r>
              <w:t>Family Courts Act 1964, s.17A, as substituted by the Family Courts (Amendment) Act 2015</w:t>
            </w:r>
          </w:p>
        </w:tc>
      </w:tr>
      <w:tr w:rsidR="00E13E11" w14:paraId="1514B1DA" w14:textId="77777777">
        <w:tc>
          <w:tcPr>
            <w:tcW w:w="0" w:type="auto"/>
          </w:tcPr>
          <w:p w14:paraId="79274380" w14:textId="77777777" w:rsidR="00E13E11" w:rsidRDefault="00C869EB">
            <w:pPr>
              <w:pStyle w:val="Compact"/>
            </w:pPr>
            <w:r>
              <w:t>6</w:t>
            </w:r>
          </w:p>
        </w:tc>
        <w:tc>
          <w:tcPr>
            <w:tcW w:w="0" w:type="auto"/>
          </w:tcPr>
          <w:p w14:paraId="725571B2" w14:textId="77777777" w:rsidR="00E13E11" w:rsidRDefault="00C869EB">
            <w:pPr>
              <w:pStyle w:val="Compact"/>
            </w:pPr>
            <w:r>
              <w:t>Can the Family Court award more than what was originally claimed in the plaint?</w:t>
            </w:r>
          </w:p>
        </w:tc>
        <w:tc>
          <w:tcPr>
            <w:tcW w:w="0" w:type="auto"/>
          </w:tcPr>
          <w:p w14:paraId="52F79E97" w14:textId="77777777" w:rsidR="00E13E11" w:rsidRDefault="00C869EB">
            <w:pPr>
              <w:pStyle w:val="Compact"/>
            </w:pPr>
            <w:r>
              <w:t>Yes. The amended law allows the court to fix maintenance higher than the amount originally prayed for, due to the passage of time or other relevant circumstances, and to prescribe an annual increase — defaulting to 10 per cent per year if not otherwise fixed.</w:t>
            </w:r>
          </w:p>
        </w:tc>
        <w:tc>
          <w:tcPr>
            <w:tcW w:w="0" w:type="auto"/>
          </w:tcPr>
          <w:p w14:paraId="008BFA79" w14:textId="77777777" w:rsidR="00E13E11" w:rsidRDefault="00C869EB">
            <w:pPr>
              <w:pStyle w:val="Compact"/>
            </w:pPr>
            <w:r>
              <w:t>Family Courts Act 1964, s.17A(2)–(3)</w:t>
            </w:r>
          </w:p>
        </w:tc>
      </w:tr>
    </w:tbl>
    <w:p w14:paraId="55F7AD05" w14:textId="114DF3F2" w:rsidR="00E13E11" w:rsidRDefault="00C869EB">
      <w:pPr>
        <w:pStyle w:val="Heading3"/>
      </w:pPr>
      <w:bookmarkStart w:id="5" w:name="husband-1"/>
      <w:bookmarkEnd w:id="4"/>
      <w:r>
        <w:t xml:space="preserve"> Husband</w:t>
      </w:r>
    </w:p>
    <w:tbl>
      <w:tblPr>
        <w:tblStyle w:val="Table"/>
        <w:tblW w:w="5000" w:type="pct"/>
        <w:tblLook w:val="0020" w:firstRow="1" w:lastRow="0" w:firstColumn="0" w:lastColumn="0" w:noHBand="0" w:noVBand="0"/>
      </w:tblPr>
      <w:tblGrid>
        <w:gridCol w:w="389"/>
        <w:gridCol w:w="2496"/>
        <w:gridCol w:w="4258"/>
        <w:gridCol w:w="2207"/>
      </w:tblGrid>
      <w:tr w:rsidR="00E13E11" w14:paraId="02E832E0" w14:textId="77777777" w:rsidTr="00E13E11">
        <w:trPr>
          <w:cnfStyle w:val="100000000000" w:firstRow="1" w:lastRow="0" w:firstColumn="0" w:lastColumn="0" w:oddVBand="0" w:evenVBand="0" w:oddHBand="0" w:evenHBand="0" w:firstRowFirstColumn="0" w:firstRowLastColumn="0" w:lastRowFirstColumn="0" w:lastRowLastColumn="0"/>
        </w:trPr>
        <w:tc>
          <w:tcPr>
            <w:tcW w:w="0" w:type="auto"/>
          </w:tcPr>
          <w:p w14:paraId="19B58055" w14:textId="77777777" w:rsidR="00E13E11" w:rsidRDefault="00C869EB">
            <w:pPr>
              <w:pStyle w:val="Compact"/>
            </w:pPr>
            <w:r>
              <w:t>#</w:t>
            </w:r>
          </w:p>
        </w:tc>
        <w:tc>
          <w:tcPr>
            <w:tcW w:w="0" w:type="auto"/>
          </w:tcPr>
          <w:p w14:paraId="63090123" w14:textId="77777777" w:rsidR="00E13E11" w:rsidRDefault="00C869EB">
            <w:pPr>
              <w:pStyle w:val="Compact"/>
            </w:pPr>
            <w:r>
              <w:t>Question</w:t>
            </w:r>
          </w:p>
        </w:tc>
        <w:tc>
          <w:tcPr>
            <w:tcW w:w="0" w:type="auto"/>
          </w:tcPr>
          <w:p w14:paraId="6B7D87C2" w14:textId="77777777" w:rsidR="00E13E11" w:rsidRDefault="00C869EB">
            <w:pPr>
              <w:pStyle w:val="Compact"/>
            </w:pPr>
            <w:r>
              <w:t>Answer</w:t>
            </w:r>
          </w:p>
        </w:tc>
        <w:tc>
          <w:tcPr>
            <w:tcW w:w="0" w:type="auto"/>
          </w:tcPr>
          <w:p w14:paraId="49CE1AD5" w14:textId="77777777" w:rsidR="00E13E11" w:rsidRDefault="00C869EB">
            <w:pPr>
              <w:pStyle w:val="Compact"/>
            </w:pPr>
            <w:r>
              <w:t>Law Reference</w:t>
            </w:r>
          </w:p>
        </w:tc>
      </w:tr>
      <w:tr w:rsidR="00E13E11" w14:paraId="2E3A07B6" w14:textId="77777777">
        <w:tc>
          <w:tcPr>
            <w:tcW w:w="0" w:type="auto"/>
          </w:tcPr>
          <w:p w14:paraId="20F47885" w14:textId="77777777" w:rsidR="00E13E11" w:rsidRDefault="00C869EB">
            <w:pPr>
              <w:pStyle w:val="Compact"/>
            </w:pPr>
            <w:r>
              <w:t>1</w:t>
            </w:r>
          </w:p>
        </w:tc>
        <w:tc>
          <w:tcPr>
            <w:tcW w:w="0" w:type="auto"/>
          </w:tcPr>
          <w:p w14:paraId="5DC0422F" w14:textId="77777777" w:rsidR="00E13E11" w:rsidRDefault="00C869EB">
            <w:pPr>
              <w:pStyle w:val="Compact"/>
            </w:pPr>
            <w:r>
              <w:t>Can the husband contest the quantum claimed?</w:t>
            </w:r>
          </w:p>
        </w:tc>
        <w:tc>
          <w:tcPr>
            <w:tcW w:w="0" w:type="auto"/>
          </w:tcPr>
          <w:p w14:paraId="33B7FAF0" w14:textId="77777777" w:rsidR="00E13E11" w:rsidRDefault="00C869EB">
            <w:pPr>
              <w:pStyle w:val="Compact"/>
            </w:pPr>
            <w:r>
              <w:t>Yes, by written statement and evidence of his actual income and means, and of the wife’s conduct, such as an unjustified refusal to live with him.</w:t>
            </w:r>
          </w:p>
        </w:tc>
        <w:tc>
          <w:tcPr>
            <w:tcW w:w="0" w:type="auto"/>
          </w:tcPr>
          <w:p w14:paraId="34229850" w14:textId="77777777" w:rsidR="00E13E11" w:rsidRDefault="00C869EB">
            <w:pPr>
              <w:pStyle w:val="Compact"/>
            </w:pPr>
            <w:r>
              <w:t>Family Courts Act 1964, s.10</w:t>
            </w:r>
          </w:p>
        </w:tc>
      </w:tr>
      <w:tr w:rsidR="00E13E11" w14:paraId="7128C623" w14:textId="77777777">
        <w:tc>
          <w:tcPr>
            <w:tcW w:w="0" w:type="auto"/>
          </w:tcPr>
          <w:p w14:paraId="03469202" w14:textId="77777777" w:rsidR="00E13E11" w:rsidRDefault="00C869EB">
            <w:pPr>
              <w:pStyle w:val="Compact"/>
            </w:pPr>
            <w:r>
              <w:t>2</w:t>
            </w:r>
          </w:p>
        </w:tc>
        <w:tc>
          <w:tcPr>
            <w:tcW w:w="0" w:type="auto"/>
          </w:tcPr>
          <w:p w14:paraId="455C15BE" w14:textId="77777777" w:rsidR="00E13E11" w:rsidRDefault="00C869EB">
            <w:pPr>
              <w:pStyle w:val="Compact"/>
            </w:pPr>
            <w:r>
              <w:t>Can maintenance orders be enforced against the husband’s salary or assets?</w:t>
            </w:r>
          </w:p>
        </w:tc>
        <w:tc>
          <w:tcPr>
            <w:tcW w:w="0" w:type="auto"/>
          </w:tcPr>
          <w:p w14:paraId="78BAEAA5" w14:textId="77777777" w:rsidR="00E13E11" w:rsidRDefault="00C869EB">
            <w:pPr>
              <w:pStyle w:val="Compact"/>
            </w:pPr>
            <w:r>
              <w:t xml:space="preserve">Yes, through attachment of salary by notice to the employer, attachment or sale of movable or immovable property, or other execution modes available to a civil court, including committal for </w:t>
            </w:r>
            <w:proofErr w:type="spellStart"/>
            <w:r>
              <w:t>wilful</w:t>
            </w:r>
            <w:proofErr w:type="spellEnd"/>
            <w:r>
              <w:t xml:space="preserve"> default.</w:t>
            </w:r>
          </w:p>
        </w:tc>
        <w:tc>
          <w:tcPr>
            <w:tcW w:w="0" w:type="auto"/>
          </w:tcPr>
          <w:p w14:paraId="35C8BDDE" w14:textId="77777777" w:rsidR="00E13E11" w:rsidRDefault="00C869EB">
            <w:pPr>
              <w:pStyle w:val="Compact"/>
            </w:pPr>
            <w:r>
              <w:t>Family Courts Act 1964, s.17A; CPC 1908, execution provisions as applied</w:t>
            </w:r>
          </w:p>
        </w:tc>
      </w:tr>
      <w:tr w:rsidR="00E13E11" w14:paraId="4F61BB7C" w14:textId="77777777">
        <w:tc>
          <w:tcPr>
            <w:tcW w:w="0" w:type="auto"/>
          </w:tcPr>
          <w:p w14:paraId="44461A69" w14:textId="77777777" w:rsidR="00E13E11" w:rsidRDefault="00C869EB">
            <w:pPr>
              <w:pStyle w:val="Compact"/>
            </w:pPr>
            <w:r>
              <w:t>3</w:t>
            </w:r>
          </w:p>
        </w:tc>
        <w:tc>
          <w:tcPr>
            <w:tcW w:w="0" w:type="auto"/>
          </w:tcPr>
          <w:p w14:paraId="507004FC" w14:textId="77777777" w:rsidR="00E13E11" w:rsidRDefault="00C869EB">
            <w:pPr>
              <w:pStyle w:val="Compact"/>
            </w:pPr>
            <w:r>
              <w:t xml:space="preserve">Is </w:t>
            </w:r>
            <w:proofErr w:type="spellStart"/>
            <w:r>
              <w:t>wilful</w:t>
            </w:r>
            <w:proofErr w:type="spellEnd"/>
            <w:r>
              <w:t xml:space="preserve"> non-payment of maintenance a criminal </w:t>
            </w:r>
            <w:proofErr w:type="spellStart"/>
            <w:r>
              <w:t>offence</w:t>
            </w:r>
            <w:proofErr w:type="spellEnd"/>
            <w:r>
              <w:t>?</w:t>
            </w:r>
          </w:p>
        </w:tc>
        <w:tc>
          <w:tcPr>
            <w:tcW w:w="0" w:type="auto"/>
          </w:tcPr>
          <w:p w14:paraId="747C2564" w14:textId="77777777" w:rsidR="00E13E11" w:rsidRDefault="00C869EB">
            <w:pPr>
              <w:pStyle w:val="Compact"/>
            </w:pPr>
            <w:r>
              <w:t xml:space="preserve">Under the Family Courts Act as amended, </w:t>
            </w:r>
            <w:proofErr w:type="spellStart"/>
            <w:r>
              <w:t>wilful</w:t>
            </w:r>
            <w:proofErr w:type="spellEnd"/>
            <w:r>
              <w:t xml:space="preserve"> default in complying with a maintenance order can lead to imprisonment as an enforcement measure — civil imprisonment for decree default — separate from ordinary criminal law.</w:t>
            </w:r>
          </w:p>
        </w:tc>
        <w:tc>
          <w:tcPr>
            <w:tcW w:w="0" w:type="auto"/>
          </w:tcPr>
          <w:p w14:paraId="59B3521B" w14:textId="77777777" w:rsidR="00E13E11" w:rsidRDefault="00C869EB">
            <w:pPr>
              <w:pStyle w:val="Compact"/>
            </w:pPr>
            <w:r>
              <w:t>Family Courts Act 1964, s.17A, as amended in various provinces</w:t>
            </w:r>
          </w:p>
        </w:tc>
      </w:tr>
      <w:tr w:rsidR="00E13E11" w14:paraId="3E012ECB" w14:textId="77777777">
        <w:tc>
          <w:tcPr>
            <w:tcW w:w="0" w:type="auto"/>
          </w:tcPr>
          <w:p w14:paraId="7362708A" w14:textId="77777777" w:rsidR="00E13E11" w:rsidRDefault="00C869EB">
            <w:pPr>
              <w:pStyle w:val="Compact"/>
            </w:pPr>
            <w:r>
              <w:t>4</w:t>
            </w:r>
          </w:p>
        </w:tc>
        <w:tc>
          <w:tcPr>
            <w:tcW w:w="0" w:type="auto"/>
          </w:tcPr>
          <w:p w14:paraId="22845EF0" w14:textId="77777777" w:rsidR="00E13E11" w:rsidRDefault="00C869EB">
            <w:pPr>
              <w:pStyle w:val="Compact"/>
            </w:pPr>
            <w:r>
              <w:t>Can a husband appeal or seek revision against an interim maintenance order while the main suit is still pending?</w:t>
            </w:r>
          </w:p>
        </w:tc>
        <w:tc>
          <w:tcPr>
            <w:tcW w:w="0" w:type="auto"/>
          </w:tcPr>
          <w:p w14:paraId="4B3AD9F4" w14:textId="77777777" w:rsidR="00E13E11" w:rsidRDefault="00C869EB">
            <w:pPr>
              <w:pStyle w:val="Compact"/>
            </w:pPr>
            <w:r>
              <w:t>No. No appeal or revision lies against an interim order of a Family Court; the remedy is to contest the matter at the final decree stage or, in narrow circumstances, through a constitutional petition.</w:t>
            </w:r>
          </w:p>
        </w:tc>
        <w:tc>
          <w:tcPr>
            <w:tcW w:w="0" w:type="auto"/>
          </w:tcPr>
          <w:p w14:paraId="2BC84B65" w14:textId="77777777" w:rsidR="00E13E11" w:rsidRDefault="00C869EB">
            <w:pPr>
              <w:pStyle w:val="Compact"/>
            </w:pPr>
            <w:r>
              <w:t xml:space="preserve">Family Courts Act 1964, s.14(3); </w:t>
            </w:r>
            <w:proofErr w:type="spellStart"/>
            <w:r>
              <w:t>Sindh</w:t>
            </w:r>
            <w:proofErr w:type="spellEnd"/>
            <w:r>
              <w:t xml:space="preserve"> High Court practice, e.g. Const. Petition No. S-111 of 2023, </w:t>
            </w:r>
            <w:proofErr w:type="spellStart"/>
            <w:r>
              <w:t>Sukkur</w:t>
            </w:r>
            <w:proofErr w:type="spellEnd"/>
            <w:r>
              <w:t xml:space="preserve"> Bench</w:t>
            </w:r>
          </w:p>
        </w:tc>
      </w:tr>
      <w:tr w:rsidR="00E13E11" w14:paraId="16BF83D2" w14:textId="77777777">
        <w:tc>
          <w:tcPr>
            <w:tcW w:w="0" w:type="auto"/>
          </w:tcPr>
          <w:p w14:paraId="4E6CF810" w14:textId="77777777" w:rsidR="00E13E11" w:rsidRDefault="00C869EB">
            <w:pPr>
              <w:pStyle w:val="Compact"/>
            </w:pPr>
            <w:r>
              <w:t>5</w:t>
            </w:r>
          </w:p>
        </w:tc>
        <w:tc>
          <w:tcPr>
            <w:tcW w:w="0" w:type="auto"/>
          </w:tcPr>
          <w:p w14:paraId="4575613E" w14:textId="77777777" w:rsidR="00E13E11" w:rsidRDefault="00C869EB">
            <w:pPr>
              <w:pStyle w:val="Compact"/>
            </w:pPr>
            <w:r>
              <w:t>Can a husband compel his wife or child to undergo or produce a DNA test to contest a maintenance claim?</w:t>
            </w:r>
          </w:p>
        </w:tc>
        <w:tc>
          <w:tcPr>
            <w:tcW w:w="0" w:type="auto"/>
          </w:tcPr>
          <w:p w14:paraId="432062C9" w14:textId="77777777" w:rsidR="00E13E11" w:rsidRDefault="00C869EB">
            <w:pPr>
              <w:pStyle w:val="Compact"/>
            </w:pPr>
            <w:r>
              <w:t>Courts have generally declined to compel DNA testing in paternity disputes, treating Article 128 of the QSO’s presumption of legitimacy as weighty and the Article 129(g) presumption from a refusal to test as permissive rather than obligatory; the matter is decided on the whole evidence rather than by forcing a test.</w:t>
            </w:r>
          </w:p>
        </w:tc>
        <w:tc>
          <w:tcPr>
            <w:tcW w:w="0" w:type="auto"/>
          </w:tcPr>
          <w:p w14:paraId="4C7A9C00" w14:textId="77777777" w:rsidR="00E13E11" w:rsidRDefault="00C869EB">
            <w:pPr>
              <w:pStyle w:val="Compact"/>
            </w:pPr>
            <w:proofErr w:type="spellStart"/>
            <w:r>
              <w:t>Qanun-e-Shahadat</w:t>
            </w:r>
            <w:proofErr w:type="spellEnd"/>
            <w:r>
              <w:t xml:space="preserve"> Order 1984, Art. 128, 129(g); Supreme Court of Pakistan, C.P. 2414-L of 2015</w:t>
            </w:r>
          </w:p>
        </w:tc>
      </w:tr>
      <w:tr w:rsidR="00E13E11" w14:paraId="7F4DB292" w14:textId="77777777">
        <w:tc>
          <w:tcPr>
            <w:tcW w:w="0" w:type="auto"/>
          </w:tcPr>
          <w:p w14:paraId="4C30BE45" w14:textId="77777777" w:rsidR="00E13E11" w:rsidRDefault="00C869EB">
            <w:pPr>
              <w:pStyle w:val="Compact"/>
            </w:pPr>
            <w:r>
              <w:t>6</w:t>
            </w:r>
          </w:p>
        </w:tc>
        <w:tc>
          <w:tcPr>
            <w:tcW w:w="0" w:type="auto"/>
          </w:tcPr>
          <w:p w14:paraId="050032A3" w14:textId="77777777" w:rsidR="00E13E11" w:rsidRDefault="00C869EB">
            <w:pPr>
              <w:pStyle w:val="Compact"/>
            </w:pPr>
            <w:r>
              <w:t>Can a husband seek a reduction in an existing maintenance order if his income decreases substantially?</w:t>
            </w:r>
          </w:p>
        </w:tc>
        <w:tc>
          <w:tcPr>
            <w:tcW w:w="0" w:type="auto"/>
          </w:tcPr>
          <w:p w14:paraId="73A35B52" w14:textId="77777777" w:rsidR="00E13E11" w:rsidRDefault="00C869EB">
            <w:pPr>
              <w:pStyle w:val="Compact"/>
            </w:pPr>
            <w:r>
              <w:t>Yes. A husband can apply for variation of a maintenance order on the ground of a genuine and substantial change in his financial circumstances; the Family Court will require proof of the change and will balance it against the wife’s and children’s continuing needs before varying the amount.</w:t>
            </w:r>
          </w:p>
        </w:tc>
        <w:tc>
          <w:tcPr>
            <w:tcW w:w="0" w:type="auto"/>
          </w:tcPr>
          <w:p w14:paraId="5CF35D43" w14:textId="77777777" w:rsidR="00E13E11" w:rsidRDefault="00C869EB">
            <w:pPr>
              <w:pStyle w:val="Compact"/>
            </w:pPr>
            <w:r>
              <w:t>Family Courts Act 1964, s.17A; general execution and variation practice</w:t>
            </w:r>
          </w:p>
        </w:tc>
      </w:tr>
    </w:tbl>
    <w:p w14:paraId="6AE20764" w14:textId="44A72B6D" w:rsidR="00E13E11" w:rsidRDefault="00E13E11" w:rsidP="00737099">
      <w:pPr>
        <w:pStyle w:val="Heading3"/>
      </w:pPr>
      <w:bookmarkStart w:id="6" w:name="Xd3a65c9e11771508b2393bd544c78cc92cdfc8e"/>
      <w:bookmarkEnd w:id="5"/>
      <w:bookmarkEnd w:id="3"/>
    </w:p>
    <w:p w14:paraId="57BD0B4C" w14:textId="7FE52B3A" w:rsidR="00E13E11" w:rsidRDefault="00E13E11" w:rsidP="005B0E9C">
      <w:bookmarkStart w:id="7" w:name="disclaimer"/>
      <w:bookmarkEnd w:id="6"/>
    </w:p>
    <w:bookmarkEnd w:id="7"/>
    <w:bookmarkEnd w:id="0"/>
    <w:sectPr w:rsidR="00E13E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AF125D" w14:textId="77777777" w:rsidR="00C869EB" w:rsidRDefault="00C869EB">
      <w:pPr>
        <w:spacing w:after="0"/>
      </w:pPr>
      <w:r>
        <w:separator/>
      </w:r>
    </w:p>
  </w:endnote>
  <w:endnote w:type="continuationSeparator" w:id="0">
    <w:p w14:paraId="4F93E355" w14:textId="77777777" w:rsidR="00C869EB" w:rsidRDefault="00C869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11E27B" w14:textId="77777777" w:rsidR="00E13E11" w:rsidRDefault="00C869EB">
      <w:r>
        <w:separator/>
      </w:r>
    </w:p>
  </w:footnote>
  <w:footnote w:type="continuationSeparator" w:id="0">
    <w:p w14:paraId="6F08C72C" w14:textId="77777777" w:rsidR="00E13E11" w:rsidRDefault="00C869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66037043">
    <w:abstractNumId w:val="0"/>
  </w:num>
  <w:num w:numId="2" w16cid:durableId="521013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61197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E11"/>
    <w:rsid w:val="00024ED4"/>
    <w:rsid w:val="005B0E9C"/>
    <w:rsid w:val="00676D34"/>
    <w:rsid w:val="006D7692"/>
    <w:rsid w:val="0071732C"/>
    <w:rsid w:val="00737099"/>
    <w:rsid w:val="00787D0F"/>
    <w:rsid w:val="00907E38"/>
    <w:rsid w:val="00A87002"/>
    <w:rsid w:val="00AE777A"/>
    <w:rsid w:val="00C869EB"/>
    <w:rsid w:val="00E13E11"/>
    <w:rsid w:val="00EC383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2954C9D7"/>
  <w15:docId w15:val="{D3FD6536-02E4-544E-9786-5C0E4B97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3864"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F3864"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F3864"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1F3864"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1F3864"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1F3864"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1F3864"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1F3864"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1F386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3864" w:themeColor="accen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1F3864"/>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4" w:space="0" w:color="B8C4D9"/>
        <w:left w:val="single" w:sz="4" w:space="0" w:color="B8C4D9"/>
        <w:bottom w:val="single" w:sz="4" w:space="0" w:color="B8C4D9"/>
        <w:right w:val="single" w:sz="4" w:space="0" w:color="B8C4D9"/>
        <w:insideH w:val="single" w:sz="4" w:space="0" w:color="B8C4D9"/>
        <w:insideV w:val="single" w:sz="4" w:space="0" w:color="B8C4D9"/>
      </w:tblBorders>
      <w:tblCellMar>
        <w:top w:w="60" w:type="dxa"/>
        <w:left w:w="120" w:type="dxa"/>
        <w:bottom w:w="60" w:type="dxa"/>
        <w:right w:w="120" w:type="dxa"/>
      </w:tblCellMar>
    </w:tblPr>
    <w:tblStylePr w:type="firstRow">
      <w:rPr>
        <w:b/>
        <w:color w:val="FFFFFF"/>
      </w:rPr>
      <w:tblPr>
        <w:jc w:val="left"/>
      </w:tblPr>
      <w:trPr>
        <w:tblHeader/>
        <w:jc w:val="left"/>
      </w:trPr>
      <w:tcPr>
        <w:tcBorders>
          <w:bottom w:val="single" w:sz="4" w:space="0" w:color="1F3864"/>
        </w:tcBorders>
        <w:shd w:val="clear" w:color="auto" w:fill="1F3864"/>
        <w:vAlign w:val="center"/>
      </w:tcPr>
    </w:tblStylePr>
    <w:tblStylePr w:type="band1Horz">
      <w:tblPr/>
      <w:tcPr>
        <w:shd w:val="clear" w:color="auto" w:fill="EEF1F7"/>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F386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17294A"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1F3864"/>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Family Law System</dc:title>
  <dc:creator/>
  <cp:keywords/>
  <cp:lastModifiedBy>hareem124@outlook.com</cp:lastModifiedBy>
  <cp:revision>2</cp:revision>
  <dcterms:created xsi:type="dcterms:W3CDTF">2026-08-03T06:48:00Z</dcterms:created>
  <dcterms:modified xsi:type="dcterms:W3CDTF">2026-08-03T06:48:00Z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Question Bank ��� Reference Edition</vt:lpwstr>
  </property>
</Properties>
</file>