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rPr/>
      </w:pPr>
      <w:bookmarkStart w:colFirst="0" w:colLast="0" w:name="_ax88g5tzljc5" w:id="0"/>
      <w:bookmarkEnd w:id="0"/>
      <w:r w:rsidDel="00000000" w:rsidR="00000000" w:rsidRPr="00000000">
        <w:rPr>
          <w:rtl w:val="0"/>
        </w:rPr>
        <w:t xml:space="preserve">LEGAL REMEDIES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Dower</w:t>
      </w:r>
      <w:r w:rsidDel="00000000" w:rsidR="00000000" w:rsidRPr="00000000">
        <w:rPr>
          <w:rtl w:val="0"/>
        </w:rPr>
        <w:t xml:space="preserve"> — Suit for recovery on demand and refusal — </w:t>
      </w:r>
      <w:r w:rsidDel="00000000" w:rsidR="00000000" w:rsidRPr="00000000">
        <w:rPr>
          <w:i w:val="1"/>
          <w:iCs w:val="1"/>
          <w:rtl w:val="0"/>
        </w:rPr>
        <w:t xml:space="preserve">MFLO 1961 s.10; FCA 1964 s.7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Deferred Dower</w:t>
      </w:r>
      <w:r w:rsidDel="00000000" w:rsidR="00000000" w:rsidRPr="00000000">
        <w:rPr>
          <w:rtl w:val="0"/>
        </w:rPr>
        <w:t xml:space="preserve"> — Suit for recovery upon triggering event (divorce/death) — </w:t>
      </w:r>
      <w:r w:rsidDel="00000000" w:rsidR="00000000" w:rsidRPr="00000000">
        <w:rPr>
          <w:i w:val="1"/>
          <w:iCs w:val="1"/>
          <w:rtl w:val="0"/>
        </w:rPr>
        <w:t xml:space="preserve">Muslim Personal Law; FCA 1964 s.7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 Dissolution</w:t>
      </w:r>
      <w:r w:rsidDel="00000000" w:rsidR="00000000" w:rsidRPr="00000000">
        <w:rPr>
          <w:rtl w:val="0"/>
        </w:rPr>
        <w:t xml:space="preserve"> — Dower right survives dissolution; suit for unpaid amount — </w:t>
      </w:r>
      <w:r w:rsidDel="00000000" w:rsidR="00000000" w:rsidRPr="00000000">
        <w:rPr>
          <w:i w:val="1"/>
          <w:iCs w:val="1"/>
          <w:rtl w:val="0"/>
        </w:rPr>
        <w:t xml:space="preserve">Dissolution of Muslim Marriages Act 1939 s.5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 Khula</w:t>
      </w:r>
      <w:r w:rsidDel="00000000" w:rsidR="00000000" w:rsidRPr="00000000">
        <w:rPr>
          <w:rtl w:val="0"/>
        </w:rPr>
        <w:t xml:space="preserve"> — Claim determined per khula decree terms; suit if not relinquished — </w:t>
      </w:r>
      <w:r w:rsidDel="00000000" w:rsidR="00000000" w:rsidRPr="00000000">
        <w:rPr>
          <w:i w:val="1"/>
          <w:iCs w:val="1"/>
          <w:rtl w:val="0"/>
        </w:rPr>
        <w:t xml:space="preserve">FCA 1964 s.7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Contested Claim (payment/waiver disputed)</w:t>
      </w:r>
      <w:r w:rsidDel="00000000" w:rsidR="00000000" w:rsidRPr="00000000">
        <w:rPr>
          <w:rtl w:val="0"/>
        </w:rPr>
        <w:t xml:space="preserve"> — Trial and decree based on evidence — </w:t>
      </w:r>
      <w:r w:rsidDel="00000000" w:rsidR="00000000" w:rsidRPr="00000000">
        <w:rPr>
          <w:i w:val="1"/>
          <w:iCs w:val="1"/>
          <w:rtl w:val="0"/>
        </w:rPr>
        <w:t xml:space="preserve">FCA 1964 s.11, s.12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Non-Payment After Decree</w:t>
      </w:r>
      <w:r w:rsidDel="00000000" w:rsidR="00000000" w:rsidRPr="00000000">
        <w:rPr>
          <w:rtl w:val="0"/>
        </w:rPr>
        <w:t xml:space="preserve"> — Execution: attachment/sale of property, other money-decree enforcement — </w:t>
      </w:r>
      <w:r w:rsidDel="00000000" w:rsidR="00000000" w:rsidRPr="00000000">
        <w:rPr>
          <w:i w:val="1"/>
          <w:iCs w:val="1"/>
          <w:rtl w:val="0"/>
        </w:rPr>
        <w:t xml:space="preserve">FCA 1964 s.13; CPC O.XXI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Aggrieved by Judgment</w:t>
      </w:r>
      <w:r w:rsidDel="00000000" w:rsidR="00000000" w:rsidRPr="00000000">
        <w:rPr>
          <w:rtl w:val="0"/>
        </w:rPr>
        <w:t xml:space="preserve"> — Appeal with possible stay — </w:t>
      </w:r>
      <w:r w:rsidDel="00000000" w:rsidR="00000000" w:rsidRPr="00000000">
        <w:rPr>
          <w:i w:val="1"/>
          <w:iCs w:val="1"/>
          <w:rtl w:val="0"/>
        </w:rPr>
        <w:t xml:space="preserve">FCA 1964 s.14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