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n6ppjo8sf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JURISDICTION — ORIGINAL, APPELLATE, TERRITORIAL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Jurisdiction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Vested exclusively in the Family Court — Section 5 r/w Schedule Items 8–10, FCA 1964.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Ordinary civil courts are statutorily barred from entertaining dowry disputes, reflecting the legislature's intent to route such matters through a specialized forum.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Territorial Jurisdiction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Determined by the place where the wife ordinarily resides — Rule 6, West Pakistan Family Courts Rules, 1965.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a protective provision, sparing the wife the inconvenience of litigating at the husband's location.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Appellate Jurisdiction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Governed by a value-based threshold under Section 14(2)(b), FCA 1964: </w:t>
      </w:r>
      <w:r w:rsidDel="00000000" w:rsidR="00000000" w:rsidRPr="00000000">
        <w:rPr>
          <w:b w:val="1"/>
          <w:bCs w:val="1"/>
          <w:rtl w:val="0"/>
        </w:rPr>
        <w:t xml:space="preserve">no appeal lies where the decretal value does not exceed Rs. 100,000</w:t>
      </w:r>
      <w:r w:rsidDel="00000000" w:rsidR="00000000" w:rsidRPr="00000000">
        <w:rPr>
          <w:rtl w:val="0"/>
        </w:rPr>
        <w:t xml:space="preserve">, rendering such decrees final at the trial stage.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the decretal value exceeds Rs. 100,000, appeal lies: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 the </w:t>
      </w:r>
      <w:r w:rsidDel="00000000" w:rsidR="00000000" w:rsidRPr="00000000">
        <w:rPr>
          <w:b w:val="1"/>
          <w:bCs w:val="1"/>
          <w:rtl w:val="0"/>
        </w:rPr>
        <w:t xml:space="preserve">High Court</w:t>
      </w:r>
      <w:r w:rsidDel="00000000" w:rsidR="00000000" w:rsidRPr="00000000">
        <w:rPr>
          <w:rtl w:val="0"/>
        </w:rPr>
        <w:t xml:space="preserve">, if the Family Court was presided over by a District Judge or Additional District Judge (or an officer of equivalent rank); or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 the </w:t>
      </w:r>
      <w:r w:rsidDel="00000000" w:rsidR="00000000" w:rsidRPr="00000000">
        <w:rPr>
          <w:b w:val="1"/>
          <w:bCs w:val="1"/>
          <w:rtl w:val="0"/>
        </w:rPr>
        <w:t xml:space="preserve">District Court</w:t>
      </w:r>
      <w:r w:rsidDel="00000000" w:rsidR="00000000" w:rsidRPr="00000000">
        <w:rPr>
          <w:rtl w:val="0"/>
        </w:rPr>
        <w:t xml:space="preserve">, in all other cases — Section 14(1), FCA 1964.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tiered structure is designed to secure quick finality for smaller claims while preserving a right of appeal for higher-value disputes.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