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atvazga7q93" w:id="0"/>
      <w:bookmarkEnd w:id="0"/>
      <w:r w:rsidDel="00000000" w:rsidR="00000000" w:rsidRPr="00000000">
        <w:rPr>
          <w:b w:val="1"/>
          <w:bCs w:val="1"/>
          <w:color w:val="000000"/>
          <w:sz w:val="26"/>
          <w:szCs w:val="26"/>
          <w:rtl w:val="0"/>
        </w:rPr>
        <w:t xml:space="preserve">RIGHTS AND RESPONSIBILITIES</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Wife's Right</w:t>
      </w:r>
    </w:p>
    <w:p w:rsidR="00000000" w:rsidDel="00000000" w:rsidP="00000000" w:rsidRDefault="00000000" w:rsidRPr="00000000" w14:paraId="00000003">
      <w:pPr>
        <w:numPr>
          <w:ilvl w:val="1"/>
          <w:numId w:val="1"/>
        </w:numPr>
        <w:spacing w:after="0" w:afterAutospacing="0" w:before="0" w:beforeAutospacing="0" w:lineRule="auto"/>
        <w:ind w:left="1440" w:hanging="360"/>
      </w:pPr>
      <w:r w:rsidDel="00000000" w:rsidR="00000000" w:rsidRPr="00000000">
        <w:rPr>
          <w:rtl w:val="0"/>
        </w:rPr>
        <w:t xml:space="preserve">Entitlement to recover dowry articles is described in the governing law as </w:t>
      </w:r>
      <w:r w:rsidDel="00000000" w:rsidR="00000000" w:rsidRPr="00000000">
        <w:rPr>
          <w:b w:val="1"/>
          <w:bCs w:val="1"/>
          <w:rtl w:val="0"/>
        </w:rPr>
        <w:t xml:space="preserve">absolute</w:t>
      </w:r>
      <w:r w:rsidDel="00000000" w:rsidR="00000000" w:rsidRPr="00000000">
        <w:rPr>
          <w:rtl w:val="0"/>
        </w:rPr>
        <w:t xml:space="preserve"> — Section 5, DMMA 1939.</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tl w:val="0"/>
        </w:rPr>
        <w:t xml:space="preserve">This right is not contingent on which party was at fault in the breakdown of the marriage, nor on whether dissolution was obtained through Khula or on fault-based grounds.</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Even where a wife obtaining a "no-fault" Khula may be required to restore part of her dower, her right to dowry articles remains unaffected.</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Wife's Responsibility</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Bears the burden of establishing what articles were given, their value, and that they remain undelivered or wrongfully withheld.</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This is discharged through the plaint, the itemized list, and supporting oral or documentary evidence.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Husband's/In-Laws' Responsibility</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Obligated to either return the articles or contest the claim by filing a written statement, producing documents relied upon, and listing documents not in their possession with reasons for relevance — Section 9(2)–(3), FCA 1964.</w:t>
      </w:r>
    </w:p>
    <w:p w:rsidR="00000000" w:rsidDel="00000000" w:rsidP="00000000" w:rsidRDefault="00000000" w:rsidRPr="00000000" w14:paraId="0000000B">
      <w:pPr>
        <w:numPr>
          <w:ilvl w:val="1"/>
          <w:numId w:val="1"/>
        </w:numPr>
        <w:spacing w:after="240" w:before="0" w:beforeAutospacing="0" w:lineRule="auto"/>
        <w:ind w:left="1440" w:hanging="360"/>
      </w:pPr>
      <w:r w:rsidDel="00000000" w:rsidR="00000000" w:rsidRPr="00000000">
        <w:rPr>
          <w:rtl w:val="0"/>
        </w:rPr>
        <w:t xml:space="preserve">Failure to file a written statement on the date fixed results in the defence being struck off, with the Court proceeding to decide the matter on the basis of the plaint and supporting material alone — Section 9(5A), FCA 1964.</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