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timgngq8t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SITUATIONS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of Dowry Articles refers to the wife's claim for return of Jehez (dowry), bridal gifts, and jewelry given to her at the time of marriage.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claim can arise in </w:t>
      </w:r>
      <w:r w:rsidDel="00000000" w:rsidR="00000000" w:rsidRPr="00000000">
        <w:rPr>
          <w:b w:val="1"/>
          <w:bCs w:val="1"/>
          <w:rtl w:val="0"/>
        </w:rPr>
        <w:t xml:space="preserve">two distinct procedural contexts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ancillary relief</w:t>
      </w:r>
      <w:r w:rsidDel="00000000" w:rsidR="00000000" w:rsidRPr="00000000">
        <w:rPr>
          <w:rtl w:val="0"/>
        </w:rPr>
        <w:t xml:space="preserve"> joined with a Khula or dissolution of marriage suit.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standalone suit</w:t>
      </w:r>
      <w:r w:rsidDel="00000000" w:rsidR="00000000" w:rsidRPr="00000000">
        <w:rPr>
          <w:rtl w:val="0"/>
        </w:rPr>
        <w:t xml:space="preserve"> filed independently, without any accompanying claim for dissolution.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choice of route affects the applicable court fee structure and, to a limited extent, the pleadings required, though the underlying substantive right remains the same in both cases.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claim may be directed against the husband, and where articles are alleged to be in the custody of in-laws, against them as well, depending on how the suit is framed.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