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9lzvtqa88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APPLICABLE LAWS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Husband files an independent restitution suit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Substantive right: West Pakistan Muslim Personal Law (Shariat) Application Act, 1962, s.2; Islamic law (Hanafi fiqh, or the applicable school)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Procedure: Family Courts Act, 1964, s.5(1) read with Item 4, Part I of the Schedule; s.7 (institution of suit/plaint); s.8 (summons)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Wife's defences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Substantive grounds: developed through case law under Muslim Personal Law — cruelty, non-payment of prompt dower (mehr-e-muajjal), the husband's unauthorised second marriage (also engages Muslim Family Laws Ordinance, 1961, s.6 — Arbitration Council permission), non-maintenance, reasonable apprehension of harm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Procedure: Family Courts Act, 1964, s.9(1) (written statement)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Wife's counter-claim for dissolution/khula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Substantive: Dissolution of Muslim Marriages Act, 1939 (grounds such as cruelty, non-maintenance); khula under Muslim Personal Law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Procedure: Family Courts Act, 1964, s.9(1b) (deemed plaint); s.10(4) proviso (dower-surrender condition applying where dissolution is granted on the ground of khula)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Husband's restitution claim within the wife's suit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Procedure: Family Courts Act, 1964, s.9(1a) (deemed plaint; no separate suit required, provided no earlier restitution suit is pending)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E. Ex parte proceedings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Procedure: Family Courts Act, 1964, s.9(5)–(8)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F. Decree and enforcement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Procedure: Family Courts Act, 1964, s.12 and s.12A (judgment and timeline); s.13, "Enforcement of Decrees" — governs the form/register of the decree (s.13(1)) and, separately, execution mechanics for decrees involving payment of money or delivery of property (s.13(2)–(5)); s.17 (exclusion of the Code of Civil Procedure, 1908, save ss.10 &amp; 11, in respect of matters under Part I of the Schedule — which includes restitution of conjugal rights)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 on maintenance: case law — a decree may be made conditional on payment of dower/maintenance; unjustified continued refusal to comply can result in forfeiture of future maintenance; </w:t>
      </w:r>
      <w:r w:rsidDel="00000000" w:rsidR="00000000" w:rsidRPr="00000000">
        <w:rPr>
          <w:i w:val="1"/>
          <w:iCs w:val="1"/>
          <w:rtl w:val="0"/>
        </w:rPr>
        <w:t xml:space="preserve">Mst. Ambreen v. Muhammad Kabir</w:t>
      </w:r>
      <w:r w:rsidDel="00000000" w:rsidR="00000000" w:rsidRPr="00000000">
        <w:rPr>
          <w:rtl w:val="0"/>
        </w:rPr>
        <w:t xml:space="preserve"> (wife may still claim maintenance despite an existing restitution decree, where cruelty by the husband or his family is established)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G. Appeal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Procedure: Family Courts Act, 1964, s.14(1)–(4)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