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698c5x1gx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tbl>
      <w:tblPr>
        <w:tblStyle w:val="Table1"/>
        <w:tblpPr w:leftFromText="180" w:rightFromText="180" w:topFromText="180" w:bottomFromText="180" w:vertAnchor="text" w:horzAnchor="text" w:tblpX="-24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7.891373801917"/>
        <w:gridCol w:w="5073.738019169329"/>
        <w:gridCol w:w="2068.370607028754"/>
        <w:tblGridChange w:id="0">
          <w:tblGrid>
            <w:gridCol w:w="2217.891373801917"/>
            <w:gridCol w:w="5073.738019169329"/>
            <w:gridCol w:w="2068.370607028754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Fixing date of defendant's appearance after plaint is presented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Not more than 15 days from presentation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s.8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Transmission of summons/notice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Within 2 days of presentation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s.8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Filing of written statement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On the date fixed; extendable by up to 15 further days for sufficient cause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s.9(1)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Setting aside an ex parte decree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of service of notice of the decree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s.9(6), read with the service-of-notice provision at s.9(7)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Final compromise effort before judgment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Within 15 days after close of evidence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s.12(1)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Disposal of suit (judgment and decree)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Mandatory within 6 months of institution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s.12A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Disposal of appeal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Within 4 months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s.14(4)</w:t>
            </w:r>
          </w:p>
        </w:tc>
      </w:tr>
      <w:tr>
        <w:trPr>
          <w:cantSplit w:val="0"/>
          <w:trHeight w:val="266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Limitation to institute the suit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Not expressly prescribed for this specific suit; courts have applied the residuary Article 120 of the Limitation Act, 1908 (6 years from accrual of the right to sue) by analogy in comparable family-law contexts. An earlier limitation statute prescribed a shorter, distinct period specific to restitution suits, but current authority on this exact point should be confirmed with a practitioner before relying on any period.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Limitation Act, 1908, Art. 120 (applied by analogy) — verify current applicable article before filing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/>
      </w:pPr>
      <w:bookmarkStart w:colFirst="0" w:colLast="0" w:name="_5e3yha1fr7r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