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mgv9qdmpm79e" w:id="0"/>
      <w:bookmarkEnd w:id="0"/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  <w:t xml:space="preserve">Based on the statutory framework of the </w:t>
      </w:r>
      <w:r w:rsidDel="00000000" w:rsidR="00000000" w:rsidRPr="00000000">
        <w:rPr>
          <w:b w:val="1"/>
          <w:bCs w:val="1"/>
          <w:rtl w:val="0"/>
        </w:rPr>
        <w:t xml:space="preserve">Muslim Family Laws Ordinance (MFLO), 1961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Family Courts Act, 1964</w:t>
      </w:r>
      <w:r w:rsidDel="00000000" w:rsidR="00000000" w:rsidRPr="00000000">
        <w:rPr>
          <w:rtl w:val="0"/>
        </w:rPr>
        <w:t xml:space="preserve">, here are the possible legal scenarios/situations that can arise during or after divorce proceedings: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vre5hbnqxc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Scenarios Under MFLO, 1961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ccnem904z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Standard Compliance Scenario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Fully Compliant Talaq Procedure</w:t>
      </w:r>
      <w:r w:rsidDel="00000000" w:rsidR="00000000" w:rsidRPr="00000000">
        <w:rPr>
          <w:rtl w:val="0"/>
        </w:rPr>
        <w:t xml:space="preserve"> (Notice sent, Arbitration fails, 90-day waiting period completes, Certificate of Effectiveness issued).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nizk4lums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Reconciliation Scenarios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Successful Reconciliation via the Arbitration Council (Talaq revoked within</w:t>
      </w:r>
      <w:r w:rsidDel="00000000" w:rsidR="00000000" w:rsidRPr="00000000">
        <w:rPr>
          <w:rtl w:val="0"/>
        </w:rPr>
        <w:t xml:space="preserve"> 90 days; marriage continues naturally).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Express or Implied Revocation by Husband</w:t>
      </w:r>
      <w:r w:rsidDel="00000000" w:rsidR="00000000" w:rsidRPr="00000000">
        <w:rPr>
          <w:rtl w:val="0"/>
        </w:rPr>
        <w:t xml:space="preserve"> (Husband formally withdraws notice or resumes conjugal relations before the 90 days expire).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0dfcu0dbc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Procedural Non-Compliance Scenarios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Pronouncement Without Written Notice to Chairman</w:t>
      </w:r>
      <w:r w:rsidDel="00000000" w:rsidR="00000000" w:rsidRPr="00000000">
        <w:rPr>
          <w:rtl w:val="0"/>
        </w:rPr>
        <w:t xml:space="preserve"> (Criminal liability under Section 7(2) and contested validity/effectiveness of divorce).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Failure to Serve Copy of Notice to Wife</w:t>
      </w:r>
      <w:r w:rsidDel="00000000" w:rsidR="00000000" w:rsidRPr="00000000">
        <w:rPr>
          <w:rtl w:val="0"/>
        </w:rPr>
        <w:t xml:space="preserve"> (Defect in statutory procedure affecting service and wife's right to contest or claim maintenance).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Failure or Delay in Constituting Arbitration Council</w:t>
      </w:r>
      <w:r w:rsidDel="00000000" w:rsidR="00000000" w:rsidRPr="00000000">
        <w:rPr>
          <w:rtl w:val="0"/>
        </w:rPr>
        <w:t xml:space="preserve"> (Procedural lapse by the Chairman; validity generally protected if notice was submitted).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683oqebjy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Pregnancy &amp; Special Time-Frame Scenarios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Divorce Pronounced While Wife is Pregnant</w:t>
      </w:r>
      <w:r w:rsidDel="00000000" w:rsidR="00000000" w:rsidRPr="00000000">
        <w:rPr>
          <w:rtl w:val="0"/>
        </w:rPr>
        <w:t xml:space="preserve"> (Effective date extended beyond 90 days until delivery/termination of pregnancy).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Divorce Finalized Prior to Knowledge of Pregnancy</w:t>
      </w:r>
      <w:r w:rsidDel="00000000" w:rsidR="00000000" w:rsidRPr="00000000">
        <w:rPr>
          <w:rtl w:val="0"/>
        </w:rPr>
        <w:t xml:space="preserve"> (Adjustment of effective date to accommodate statutory </w:t>
      </w:r>
      <w:r w:rsidDel="00000000" w:rsidR="00000000" w:rsidRPr="00000000">
        <w:rPr>
          <w:i w:val="1"/>
          <w:iCs w:val="1"/>
          <w:rtl w:val="0"/>
        </w:rPr>
        <w:t xml:space="preserve">Iddat</w:t>
      </w:r>
      <w:r w:rsidDel="00000000" w:rsidR="00000000" w:rsidRPr="00000000">
        <w:rPr>
          <w:rtl w:val="0"/>
        </w:rPr>
        <w:t xml:space="preserve"> period).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jjy2plx3h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Delegated &amp; Alternative Dissolution Scenarios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Exercise of Talaq-e-Tafweez (Delegated Right by Wife)</w:t>
      </w:r>
      <w:r w:rsidDel="00000000" w:rsidR="00000000" w:rsidRPr="00000000">
        <w:rPr>
          <w:rtl w:val="0"/>
        </w:rPr>
        <w:t xml:space="preserve"> (Wife uses delegated authority under Column 18 of Nikahnama under Section 8).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Judicial Khula / Dissolution via Family Court</w:t>
      </w:r>
      <w:r w:rsidDel="00000000" w:rsidR="00000000" w:rsidRPr="00000000">
        <w:rPr>
          <w:rtl w:val="0"/>
        </w:rPr>
        <w:t xml:space="preserve"> (Wife seeking dissolution under Family Courts Act, 1964 when delegated right is absent or refused).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8x075umtt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Financial &amp; Post-Divorce Dispute Scenarios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Recovery of Unpaid Dower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Haq Mehr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(Immediate demand for prompt/unspecified dower under Section 10).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Claim for Past &amp;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Iddat</w:t>
      </w:r>
      <w:r w:rsidDel="00000000" w:rsidR="00000000" w:rsidRPr="00000000">
        <w:rPr>
          <w:b w:val="1"/>
          <w:bCs w:val="1"/>
          <w:rtl w:val="0"/>
        </w:rPr>
        <w:t xml:space="preserve"> Maintenance</w:t>
      </w:r>
      <w:r w:rsidDel="00000000" w:rsidR="00000000" w:rsidRPr="00000000">
        <w:rPr>
          <w:rtl w:val="0"/>
        </w:rPr>
        <w:t xml:space="preserve"> (Wife enforcing maintenance rights through Family Court proceedings).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Custody &amp; Guardianship Disputes</w:t>
      </w:r>
      <w:r w:rsidDel="00000000" w:rsidR="00000000" w:rsidRPr="00000000">
        <w:rPr>
          <w:rtl w:val="0"/>
        </w:rPr>
        <w:t xml:space="preserve"> (Post-divorce litigation under the Guardians and Wards Act read with Family Courts Act).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