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mxdib51yj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Legal Rights and Responsibilities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l6o1skqa9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Right to Apply for Visitation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Either parent may apply to the Family Court for visitation rights in respect of a minor child.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Law Reference: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 5(1) &amp; Schedule, Part I, Item 5, West Pakistan Family Courts Act, 1964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Sections 8–10, Guardians and Wards Act, 1890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xjfmxjl9q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Right to Seek Interim Visitation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parent may apply for an interim visitation order pending the final disposal of the application.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Law Reference: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Section 12, Guardians and Wards Act, 1890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mze4fykeg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Right to Enforcement of a Visitation Order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aggrieved parent may seek enforcement of a visitation order where it is disobeyed.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Law Reference: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Sections 43 &amp; 45, Guardians and Wards Act, 1890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16, West Pakistan Family Courts Act, 1964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bruni0rdi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Right to Appeal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aggrieved party may file an appeal against an appealable order in accordance with law.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Law Reference: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 47, Guardians and Wards Act, 1890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with Section 25, West Pakistan Family Courts Act, 1964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7opassw9g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Responsibility to Comply with the Court's Visitation Order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person bound by a visitation order shall comply with its terms and conditions.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Law Reference: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Sections 43 &amp; 45, Guardians and Wards Act, 1890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r4ju7u6dh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Responsibility of the Custodial Parent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custodial parent shall produce the minor for visitation in accordance with the Court's order and shall not obstruct or frustrate lawful visitation.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Law Reference: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Sections 43 &amp; 45, Guardians and Wards Act, 1890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16, West Pakistan Family Courts Act, 1964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c7q76f209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Responsibility of the Non-Custodial Parent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non-custodial parent shall comply with the visitation schedule, return the minor at the specified time, and act in the best interests and welfare of the child.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Law Reference: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Sections 17 &amp; 43, Guardians and Wards Act, 1890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qunls6xos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Responsibility of the Family Court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Family Court shall determine and regulate visitation rights by treating the </w:t>
      </w:r>
      <w:r w:rsidDel="00000000" w:rsidR="00000000" w:rsidRPr="00000000">
        <w:rPr>
          <w:b w:val="1"/>
          <w:bCs w:val="1"/>
          <w:rtl w:val="0"/>
        </w:rPr>
        <w:t xml:space="preserve">welfare of the minor as the paramount consideration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Law Reference: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 17, Guardians and Wards Act, 1890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25, West Pakistan Family Courts Act, 1964 </w:t>
      </w:r>
      <w:r w:rsidDel="00000000" w:rsidR="00000000" w:rsidRPr="00000000">
        <w:rPr>
          <w:i w:val="1"/>
          <w:iCs w:val="1"/>
          <w:rtl w:val="0"/>
        </w:rPr>
        <w:t xml:space="preserve">(application of the Guardians and Wards Act procedure)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