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83A29" w14:textId="08275E93" w:rsidR="00E13E11" w:rsidRPr="00C34B59" w:rsidRDefault="004747C3">
      <w:pPr>
        <w:rPr>
          <w:b/>
          <w:bCs/>
          <w:sz w:val="28"/>
          <w:szCs w:val="28"/>
          <w:u w:val="single"/>
        </w:rPr>
      </w:pPr>
      <w:bookmarkStart w:id="0" w:name="pakistan-family-law-system-question-bank"/>
      <w:bookmarkStart w:id="1" w:name="module-6-child-custody-hizanat"/>
      <w:bookmarkStart w:id="2" w:name="X6585f30e3ff8ac7b83cb3ba4d5b91bf64f39074"/>
      <w:r w:rsidRPr="00C34B59">
        <w:rPr>
          <w:b/>
          <w:bCs/>
          <w:sz w:val="28"/>
          <w:szCs w:val="28"/>
          <w:u w:val="single"/>
        </w:rPr>
        <w:t xml:space="preserve">Question </w:t>
      </w:r>
      <w:r w:rsidR="004C3B9D" w:rsidRPr="00C34B59">
        <w:rPr>
          <w:b/>
          <w:bCs/>
          <w:sz w:val="28"/>
          <w:szCs w:val="28"/>
          <w:u w:val="single"/>
        </w:rPr>
        <w:t>Bank</w:t>
      </w:r>
    </w:p>
    <w:p w14:paraId="401BE414" w14:textId="59D13EE2" w:rsidR="00E13E11" w:rsidRPr="004C3B9D" w:rsidRDefault="00C869EB">
      <w:pPr>
        <w:pStyle w:val="Heading2"/>
        <w:rPr>
          <w:u w:val="single"/>
        </w:rPr>
      </w:pPr>
      <w:bookmarkStart w:id="3" w:name="module-7-visitation-rights"/>
      <w:bookmarkEnd w:id="2"/>
      <w:bookmarkEnd w:id="1"/>
      <w:r w:rsidRPr="004C3B9D">
        <w:rPr>
          <w:u w:val="single"/>
        </w:rPr>
        <w:t>VISITATION RIGHTS</w:t>
      </w:r>
    </w:p>
    <w:p w14:paraId="09099B0D" w14:textId="7569D816" w:rsidR="00E13E11" w:rsidRDefault="00C869EB">
      <w:pPr>
        <w:pStyle w:val="Heading3"/>
      </w:pPr>
      <w:bookmarkStart w:id="4" w:name="mother-father-non-custodial-parent"/>
      <w:r>
        <w:t>Mother / Father (Non-Custodial Parent)</w:t>
      </w:r>
    </w:p>
    <w:tbl>
      <w:tblPr>
        <w:tblStyle w:val="Table"/>
        <w:tblW w:w="5000" w:type="pct"/>
        <w:tblLook w:val="0020" w:firstRow="1" w:lastRow="0" w:firstColumn="0" w:lastColumn="0" w:noHBand="0" w:noVBand="0"/>
      </w:tblPr>
      <w:tblGrid>
        <w:gridCol w:w="390"/>
        <w:gridCol w:w="2356"/>
        <w:gridCol w:w="4162"/>
        <w:gridCol w:w="2442"/>
      </w:tblGrid>
      <w:tr w:rsidR="00E13E11" w14:paraId="3188EE6C"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508DF5A6" w14:textId="77777777" w:rsidR="00E13E11" w:rsidRDefault="00C869EB">
            <w:pPr>
              <w:pStyle w:val="Compact"/>
            </w:pPr>
            <w:r>
              <w:t>#</w:t>
            </w:r>
          </w:p>
        </w:tc>
        <w:tc>
          <w:tcPr>
            <w:tcW w:w="0" w:type="auto"/>
          </w:tcPr>
          <w:p w14:paraId="7115B66C" w14:textId="77777777" w:rsidR="00E13E11" w:rsidRDefault="00C869EB">
            <w:pPr>
              <w:pStyle w:val="Compact"/>
            </w:pPr>
            <w:r>
              <w:t>Question</w:t>
            </w:r>
          </w:p>
        </w:tc>
        <w:tc>
          <w:tcPr>
            <w:tcW w:w="0" w:type="auto"/>
          </w:tcPr>
          <w:p w14:paraId="69043442" w14:textId="77777777" w:rsidR="00E13E11" w:rsidRDefault="00C869EB">
            <w:pPr>
              <w:pStyle w:val="Compact"/>
            </w:pPr>
            <w:r>
              <w:t>Answer</w:t>
            </w:r>
          </w:p>
        </w:tc>
        <w:tc>
          <w:tcPr>
            <w:tcW w:w="0" w:type="auto"/>
          </w:tcPr>
          <w:p w14:paraId="6155BEE3" w14:textId="77777777" w:rsidR="00E13E11" w:rsidRDefault="00C869EB">
            <w:pPr>
              <w:pStyle w:val="Compact"/>
            </w:pPr>
            <w:r>
              <w:t>Law Reference</w:t>
            </w:r>
          </w:p>
        </w:tc>
      </w:tr>
      <w:tr w:rsidR="00E13E11" w14:paraId="69B1E195" w14:textId="77777777">
        <w:tc>
          <w:tcPr>
            <w:tcW w:w="0" w:type="auto"/>
          </w:tcPr>
          <w:p w14:paraId="6D2F648C" w14:textId="77777777" w:rsidR="00E13E11" w:rsidRDefault="00C869EB">
            <w:pPr>
              <w:pStyle w:val="Compact"/>
            </w:pPr>
            <w:r>
              <w:t>1</w:t>
            </w:r>
          </w:p>
        </w:tc>
        <w:tc>
          <w:tcPr>
            <w:tcW w:w="0" w:type="auto"/>
          </w:tcPr>
          <w:p w14:paraId="4E313B5B" w14:textId="77777777" w:rsidR="00E13E11" w:rsidRDefault="00C869EB">
            <w:pPr>
              <w:pStyle w:val="Compact"/>
            </w:pPr>
            <w:r>
              <w:t>Does a non-custodial parent have a legal right to visit the child?</w:t>
            </w:r>
          </w:p>
        </w:tc>
        <w:tc>
          <w:tcPr>
            <w:tcW w:w="0" w:type="auto"/>
          </w:tcPr>
          <w:p w14:paraId="51BEEC7F" w14:textId="77777777" w:rsidR="00E13E11" w:rsidRDefault="00C869EB">
            <w:pPr>
              <w:pStyle w:val="Compact"/>
            </w:pPr>
            <w:r>
              <w:t xml:space="preserve">Yes. Courts routinely grant visitation or meeting rights to the non-custodial parent as part of the custody order, </w:t>
            </w:r>
            <w:proofErr w:type="spellStart"/>
            <w:r>
              <w:t>recognising</w:t>
            </w:r>
            <w:proofErr w:type="spellEnd"/>
            <w:r>
              <w:t xml:space="preserve"> the child’s right to a relationship with both parents.</w:t>
            </w:r>
          </w:p>
        </w:tc>
        <w:tc>
          <w:tcPr>
            <w:tcW w:w="0" w:type="auto"/>
          </w:tcPr>
          <w:p w14:paraId="2483A732" w14:textId="77777777" w:rsidR="00E13E11" w:rsidRDefault="00C869EB">
            <w:pPr>
              <w:pStyle w:val="Compact"/>
            </w:pPr>
            <w:r>
              <w:t>Guardians and Wards Act 1890, s.17, welfare principle extended to visitation; Family Courts Act 1964</w:t>
            </w:r>
          </w:p>
        </w:tc>
      </w:tr>
      <w:tr w:rsidR="00E13E11" w14:paraId="1AE2E8A9" w14:textId="77777777">
        <w:tc>
          <w:tcPr>
            <w:tcW w:w="0" w:type="auto"/>
          </w:tcPr>
          <w:p w14:paraId="682808B6" w14:textId="77777777" w:rsidR="00E13E11" w:rsidRDefault="00C869EB">
            <w:pPr>
              <w:pStyle w:val="Compact"/>
            </w:pPr>
            <w:r>
              <w:t>2</w:t>
            </w:r>
          </w:p>
        </w:tc>
        <w:tc>
          <w:tcPr>
            <w:tcW w:w="0" w:type="auto"/>
          </w:tcPr>
          <w:p w14:paraId="62E32A6C" w14:textId="77777777" w:rsidR="00E13E11" w:rsidRDefault="00C869EB">
            <w:pPr>
              <w:pStyle w:val="Compact"/>
            </w:pPr>
            <w:r>
              <w:t>Can visitation be denied altogether?</w:t>
            </w:r>
          </w:p>
        </w:tc>
        <w:tc>
          <w:tcPr>
            <w:tcW w:w="0" w:type="auto"/>
          </w:tcPr>
          <w:p w14:paraId="3FDF5830" w14:textId="77777777" w:rsidR="00E13E11" w:rsidRDefault="00C869EB">
            <w:pPr>
              <w:pStyle w:val="Compact"/>
            </w:pPr>
            <w:r>
              <w:t xml:space="preserve">Only in exceptional circumstances where visitation would harm the child’s welfare, such as proven abuse or a serious risk; otherwise courts </w:t>
            </w:r>
            <w:proofErr w:type="spellStart"/>
            <w:r>
              <w:t>favour</w:t>
            </w:r>
            <w:proofErr w:type="spellEnd"/>
            <w:r>
              <w:t xml:space="preserve"> structured or supervised visitation over outright denial.</w:t>
            </w:r>
          </w:p>
        </w:tc>
        <w:tc>
          <w:tcPr>
            <w:tcW w:w="0" w:type="auto"/>
          </w:tcPr>
          <w:p w14:paraId="7646F2F0" w14:textId="77777777" w:rsidR="00E13E11" w:rsidRDefault="00C869EB">
            <w:pPr>
              <w:pStyle w:val="Compact"/>
            </w:pPr>
            <w:r>
              <w:t>G&amp;WA 1890, s.17; case law on the welfare principle</w:t>
            </w:r>
          </w:p>
        </w:tc>
      </w:tr>
      <w:tr w:rsidR="00E13E11" w14:paraId="63A36881" w14:textId="77777777">
        <w:tc>
          <w:tcPr>
            <w:tcW w:w="0" w:type="auto"/>
          </w:tcPr>
          <w:p w14:paraId="0E045E75" w14:textId="77777777" w:rsidR="00E13E11" w:rsidRDefault="00C869EB">
            <w:pPr>
              <w:pStyle w:val="Compact"/>
            </w:pPr>
            <w:r>
              <w:t>3</w:t>
            </w:r>
          </w:p>
        </w:tc>
        <w:tc>
          <w:tcPr>
            <w:tcW w:w="0" w:type="auto"/>
          </w:tcPr>
          <w:p w14:paraId="58A877C8" w14:textId="77777777" w:rsidR="00E13E11" w:rsidRDefault="00C869EB">
            <w:pPr>
              <w:pStyle w:val="Compact"/>
            </w:pPr>
            <w:r>
              <w:t>Can visitation terms — place, frequency, supervision — be modified later?</w:t>
            </w:r>
          </w:p>
        </w:tc>
        <w:tc>
          <w:tcPr>
            <w:tcW w:w="0" w:type="auto"/>
          </w:tcPr>
          <w:p w14:paraId="52082639" w14:textId="77777777" w:rsidR="00E13E11" w:rsidRDefault="00C869EB">
            <w:pPr>
              <w:pStyle w:val="Compact"/>
            </w:pPr>
            <w:r>
              <w:t>Yes, upon application showing a change in circumstances.</w:t>
            </w:r>
          </w:p>
        </w:tc>
        <w:tc>
          <w:tcPr>
            <w:tcW w:w="0" w:type="auto"/>
          </w:tcPr>
          <w:p w14:paraId="1DAF2822" w14:textId="77777777" w:rsidR="00E13E11" w:rsidRDefault="00C869EB">
            <w:pPr>
              <w:pStyle w:val="Compact"/>
            </w:pPr>
            <w:r>
              <w:t>Family Courts Act 1964, execution and variation of custody-related orders</w:t>
            </w:r>
          </w:p>
        </w:tc>
      </w:tr>
      <w:tr w:rsidR="00E13E11" w14:paraId="69786285" w14:textId="77777777">
        <w:tc>
          <w:tcPr>
            <w:tcW w:w="0" w:type="auto"/>
          </w:tcPr>
          <w:p w14:paraId="0EED19FF" w14:textId="77777777" w:rsidR="00E13E11" w:rsidRDefault="00C869EB">
            <w:pPr>
              <w:pStyle w:val="Compact"/>
            </w:pPr>
            <w:r>
              <w:t>4</w:t>
            </w:r>
          </w:p>
        </w:tc>
        <w:tc>
          <w:tcPr>
            <w:tcW w:w="0" w:type="auto"/>
          </w:tcPr>
          <w:p w14:paraId="390B0C27" w14:textId="77777777" w:rsidR="00E13E11" w:rsidRDefault="00C869EB">
            <w:pPr>
              <w:pStyle w:val="Compact"/>
            </w:pPr>
            <w:r>
              <w:t>Can visitation be exercised through video calls in addition to physical meetings, especially where the parents live far apart?</w:t>
            </w:r>
          </w:p>
        </w:tc>
        <w:tc>
          <w:tcPr>
            <w:tcW w:w="0" w:type="auto"/>
          </w:tcPr>
          <w:p w14:paraId="77DDF6B4" w14:textId="77777777" w:rsidR="00E13E11" w:rsidRDefault="00C869EB">
            <w:pPr>
              <w:pStyle w:val="Compact"/>
            </w:pPr>
            <w:r>
              <w:t>Family Courts increasingly incorporate scheduled video or audio contact as a supplement to physical visitation in their orders, particularly where distance, cost, or high conflict makes frequent physical meetings impractical; this is discretionary and tailored to the child’s welfare rather than a separate statutory right.</w:t>
            </w:r>
          </w:p>
        </w:tc>
        <w:tc>
          <w:tcPr>
            <w:tcW w:w="0" w:type="auto"/>
          </w:tcPr>
          <w:p w14:paraId="194E3C9F" w14:textId="77777777" w:rsidR="00E13E11" w:rsidRDefault="00C869EB">
            <w:pPr>
              <w:pStyle w:val="Compact"/>
            </w:pPr>
            <w:r>
              <w:t>Family Courts Act 1964, s.12, the court’s general power to regulate proceedings and orders; G&amp;WA 1890, s.17, welfare principle</w:t>
            </w:r>
          </w:p>
        </w:tc>
      </w:tr>
    </w:tbl>
    <w:p w14:paraId="4A688273" w14:textId="72DE43CC" w:rsidR="00E13E11" w:rsidRDefault="00C869EB">
      <w:pPr>
        <w:pStyle w:val="Heading3"/>
      </w:pPr>
      <w:bookmarkStart w:id="5" w:name="minor-child-1"/>
      <w:bookmarkEnd w:id="4"/>
      <w:r>
        <w:t xml:space="preserve"> Minor Child</w:t>
      </w:r>
    </w:p>
    <w:tbl>
      <w:tblPr>
        <w:tblStyle w:val="Table"/>
        <w:tblW w:w="5000" w:type="pct"/>
        <w:tblLook w:val="0020" w:firstRow="1" w:lastRow="0" w:firstColumn="0" w:lastColumn="0" w:noHBand="0" w:noVBand="0"/>
      </w:tblPr>
      <w:tblGrid>
        <w:gridCol w:w="389"/>
        <w:gridCol w:w="2952"/>
        <w:gridCol w:w="4392"/>
        <w:gridCol w:w="1617"/>
      </w:tblGrid>
      <w:tr w:rsidR="00E13E11" w14:paraId="2B71B896"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26615277" w14:textId="77777777" w:rsidR="00E13E11" w:rsidRDefault="00C869EB">
            <w:pPr>
              <w:pStyle w:val="Compact"/>
            </w:pPr>
            <w:r>
              <w:t>#</w:t>
            </w:r>
          </w:p>
        </w:tc>
        <w:tc>
          <w:tcPr>
            <w:tcW w:w="0" w:type="auto"/>
          </w:tcPr>
          <w:p w14:paraId="7EA56D27" w14:textId="77777777" w:rsidR="00E13E11" w:rsidRDefault="00C869EB">
            <w:pPr>
              <w:pStyle w:val="Compact"/>
            </w:pPr>
            <w:r>
              <w:t>Question</w:t>
            </w:r>
          </w:p>
        </w:tc>
        <w:tc>
          <w:tcPr>
            <w:tcW w:w="0" w:type="auto"/>
          </w:tcPr>
          <w:p w14:paraId="2B596DC6" w14:textId="77777777" w:rsidR="00E13E11" w:rsidRDefault="00C869EB">
            <w:pPr>
              <w:pStyle w:val="Compact"/>
            </w:pPr>
            <w:r>
              <w:t>Answer</w:t>
            </w:r>
          </w:p>
        </w:tc>
        <w:tc>
          <w:tcPr>
            <w:tcW w:w="0" w:type="auto"/>
          </w:tcPr>
          <w:p w14:paraId="20D52178" w14:textId="77777777" w:rsidR="00E13E11" w:rsidRDefault="00C869EB">
            <w:pPr>
              <w:pStyle w:val="Compact"/>
            </w:pPr>
            <w:r>
              <w:t>Law Reference</w:t>
            </w:r>
          </w:p>
        </w:tc>
      </w:tr>
      <w:tr w:rsidR="00E13E11" w14:paraId="50E71F0B" w14:textId="77777777">
        <w:tc>
          <w:tcPr>
            <w:tcW w:w="0" w:type="auto"/>
          </w:tcPr>
          <w:p w14:paraId="44C30A9D" w14:textId="77777777" w:rsidR="00E13E11" w:rsidRDefault="00C869EB">
            <w:pPr>
              <w:pStyle w:val="Compact"/>
            </w:pPr>
            <w:r>
              <w:t>1</w:t>
            </w:r>
          </w:p>
        </w:tc>
        <w:tc>
          <w:tcPr>
            <w:tcW w:w="0" w:type="auto"/>
          </w:tcPr>
          <w:p w14:paraId="097B04C0" w14:textId="77777777" w:rsidR="00E13E11" w:rsidRDefault="00C869EB">
            <w:pPr>
              <w:pStyle w:val="Compact"/>
            </w:pPr>
            <w:r>
              <w:t>Can the child’s own wishes affect visitation arrangements?</w:t>
            </w:r>
          </w:p>
        </w:tc>
        <w:tc>
          <w:tcPr>
            <w:tcW w:w="0" w:type="auto"/>
          </w:tcPr>
          <w:p w14:paraId="4F71F9D0" w14:textId="77777777" w:rsidR="00E13E11" w:rsidRDefault="00C869EB">
            <w:pPr>
              <w:pStyle w:val="Compact"/>
            </w:pPr>
            <w:r>
              <w:t>Yes. If the child is old enough to express a reasoned preference, courts give it weight, though welfare remains paramount.</w:t>
            </w:r>
          </w:p>
        </w:tc>
        <w:tc>
          <w:tcPr>
            <w:tcW w:w="0" w:type="auto"/>
          </w:tcPr>
          <w:p w14:paraId="62898603" w14:textId="77777777" w:rsidR="00E13E11" w:rsidRDefault="00C869EB">
            <w:pPr>
              <w:pStyle w:val="Compact"/>
            </w:pPr>
            <w:r>
              <w:t>G&amp;WA 1890, s.17(3)</w:t>
            </w:r>
          </w:p>
        </w:tc>
      </w:tr>
    </w:tbl>
    <w:p w14:paraId="4D9ECFCC" w14:textId="484979EC" w:rsidR="00E13E11" w:rsidRDefault="00C869EB">
      <w:pPr>
        <w:pStyle w:val="Heading3"/>
      </w:pPr>
      <w:bookmarkStart w:id="6" w:name="family-court-judge-4"/>
      <w:bookmarkEnd w:id="5"/>
      <w:r>
        <w:t>Family Court Judge</w:t>
      </w:r>
    </w:p>
    <w:tbl>
      <w:tblPr>
        <w:tblStyle w:val="Table"/>
        <w:tblW w:w="5000" w:type="pct"/>
        <w:tblLook w:val="0020" w:firstRow="1" w:lastRow="0" w:firstColumn="0" w:lastColumn="0" w:noHBand="0" w:noVBand="0"/>
      </w:tblPr>
      <w:tblGrid>
        <w:gridCol w:w="389"/>
        <w:gridCol w:w="2450"/>
        <w:gridCol w:w="4055"/>
        <w:gridCol w:w="2456"/>
      </w:tblGrid>
      <w:tr w:rsidR="00E13E11" w14:paraId="00FAB3F1"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6096A70A" w14:textId="77777777" w:rsidR="00E13E11" w:rsidRDefault="00C869EB">
            <w:pPr>
              <w:pStyle w:val="Compact"/>
            </w:pPr>
            <w:r>
              <w:t>#</w:t>
            </w:r>
          </w:p>
        </w:tc>
        <w:tc>
          <w:tcPr>
            <w:tcW w:w="0" w:type="auto"/>
          </w:tcPr>
          <w:p w14:paraId="0E9313FC" w14:textId="77777777" w:rsidR="00E13E11" w:rsidRDefault="00C869EB">
            <w:pPr>
              <w:pStyle w:val="Compact"/>
            </w:pPr>
            <w:r>
              <w:t>Question</w:t>
            </w:r>
          </w:p>
        </w:tc>
        <w:tc>
          <w:tcPr>
            <w:tcW w:w="0" w:type="auto"/>
          </w:tcPr>
          <w:p w14:paraId="3B726CDC" w14:textId="77777777" w:rsidR="00E13E11" w:rsidRDefault="00C869EB">
            <w:pPr>
              <w:pStyle w:val="Compact"/>
            </w:pPr>
            <w:r>
              <w:t>Answer</w:t>
            </w:r>
          </w:p>
        </w:tc>
        <w:tc>
          <w:tcPr>
            <w:tcW w:w="0" w:type="auto"/>
          </w:tcPr>
          <w:p w14:paraId="2FC7043F" w14:textId="77777777" w:rsidR="00E13E11" w:rsidRDefault="00C869EB">
            <w:pPr>
              <w:pStyle w:val="Compact"/>
            </w:pPr>
            <w:r>
              <w:t>Law Reference</w:t>
            </w:r>
          </w:p>
        </w:tc>
      </w:tr>
      <w:tr w:rsidR="00E13E11" w14:paraId="2BADFAEE" w14:textId="77777777">
        <w:tc>
          <w:tcPr>
            <w:tcW w:w="0" w:type="auto"/>
          </w:tcPr>
          <w:p w14:paraId="2CD5C9DE" w14:textId="77777777" w:rsidR="00E13E11" w:rsidRDefault="00C869EB">
            <w:pPr>
              <w:pStyle w:val="Compact"/>
            </w:pPr>
            <w:r>
              <w:t>1</w:t>
            </w:r>
          </w:p>
        </w:tc>
        <w:tc>
          <w:tcPr>
            <w:tcW w:w="0" w:type="auto"/>
          </w:tcPr>
          <w:p w14:paraId="20AE0EA9" w14:textId="77777777" w:rsidR="00E13E11" w:rsidRDefault="00C869EB">
            <w:pPr>
              <w:pStyle w:val="Compact"/>
            </w:pPr>
            <w:r>
              <w:t>Can the Family Court order supervised visitation, for example at a neutral venue or in the presence of a third party?</w:t>
            </w:r>
          </w:p>
        </w:tc>
        <w:tc>
          <w:tcPr>
            <w:tcW w:w="0" w:type="auto"/>
          </w:tcPr>
          <w:p w14:paraId="50753389" w14:textId="77777777" w:rsidR="00E13E11" w:rsidRDefault="00C869EB">
            <w:pPr>
              <w:pStyle w:val="Compact"/>
            </w:pPr>
            <w:r>
              <w:t>Yes. Courts frequently fix a “meeting day” and neutral venue, sometimes the Family Court premises itself, for visitation, especially in high-conflict cases.</w:t>
            </w:r>
          </w:p>
        </w:tc>
        <w:tc>
          <w:tcPr>
            <w:tcW w:w="0" w:type="auto"/>
          </w:tcPr>
          <w:p w14:paraId="3B46F190" w14:textId="77777777" w:rsidR="00E13E11" w:rsidRDefault="00C869EB">
            <w:pPr>
              <w:pStyle w:val="Compact"/>
            </w:pPr>
            <w:r>
              <w:t>Family Courts Act 1964, s.12; general Family Court practice</w:t>
            </w:r>
          </w:p>
        </w:tc>
      </w:tr>
      <w:tr w:rsidR="00E13E11" w14:paraId="54303343" w14:textId="77777777">
        <w:tc>
          <w:tcPr>
            <w:tcW w:w="0" w:type="auto"/>
          </w:tcPr>
          <w:p w14:paraId="4C80393A" w14:textId="77777777" w:rsidR="00E13E11" w:rsidRDefault="00C869EB">
            <w:pPr>
              <w:pStyle w:val="Compact"/>
            </w:pPr>
            <w:r>
              <w:t>2</w:t>
            </w:r>
          </w:p>
        </w:tc>
        <w:tc>
          <w:tcPr>
            <w:tcW w:w="0" w:type="auto"/>
          </w:tcPr>
          <w:p w14:paraId="6E204BD2" w14:textId="77777777" w:rsidR="00E13E11" w:rsidRDefault="00C869EB">
            <w:pPr>
              <w:pStyle w:val="Compact"/>
            </w:pPr>
            <w:r>
              <w:t>What recourse does a parent have if the other parent takes the child abroad in violation of a custody or visitation order?</w:t>
            </w:r>
          </w:p>
        </w:tc>
        <w:tc>
          <w:tcPr>
            <w:tcW w:w="0" w:type="auto"/>
          </w:tcPr>
          <w:p w14:paraId="6809AAC0" w14:textId="77777777" w:rsidR="00E13E11" w:rsidRDefault="00C869EB">
            <w:pPr>
              <w:pStyle w:val="Compact"/>
            </w:pPr>
            <w:r>
              <w:t>The aggrieved parent can seek execution of the existing order, approach the court for an injunction or travel restriction, request that the child’s name be placed on the Exit Control List where warranted, and involve the police or the Federal Investigation Agency for enforcement at points of departure.</w:t>
            </w:r>
          </w:p>
        </w:tc>
        <w:tc>
          <w:tcPr>
            <w:tcW w:w="0" w:type="auto"/>
          </w:tcPr>
          <w:p w14:paraId="55E88481" w14:textId="77777777" w:rsidR="00E13E11" w:rsidRDefault="00C869EB">
            <w:pPr>
              <w:pStyle w:val="Compact"/>
            </w:pPr>
            <w:r>
              <w:t>Family Courts Act 1964, s.17A, execution; general practice regarding Exit Control List requests in custody disputes</w:t>
            </w:r>
          </w:p>
        </w:tc>
      </w:tr>
      <w:tr w:rsidR="00E13E11" w14:paraId="720807F7" w14:textId="77777777">
        <w:tc>
          <w:tcPr>
            <w:tcW w:w="0" w:type="auto"/>
          </w:tcPr>
          <w:p w14:paraId="582B687B" w14:textId="77777777" w:rsidR="00E13E11" w:rsidRDefault="00C869EB">
            <w:pPr>
              <w:pStyle w:val="Compact"/>
            </w:pPr>
            <w:r>
              <w:t>3</w:t>
            </w:r>
          </w:p>
        </w:tc>
        <w:tc>
          <w:tcPr>
            <w:tcW w:w="0" w:type="auto"/>
          </w:tcPr>
          <w:p w14:paraId="14541A0B" w14:textId="77777777" w:rsidR="00E13E11" w:rsidRDefault="00C869EB">
            <w:pPr>
              <w:pStyle w:val="Compact"/>
            </w:pPr>
            <w:r>
              <w:t>Can a visitation or custody order made by a Family Court in one province be enforced if the custodial parent later moves to another province?</w:t>
            </w:r>
          </w:p>
        </w:tc>
        <w:tc>
          <w:tcPr>
            <w:tcW w:w="0" w:type="auto"/>
          </w:tcPr>
          <w:p w14:paraId="7977C5ED" w14:textId="77777777" w:rsidR="00E13E11" w:rsidRDefault="00C869EB">
            <w:pPr>
              <w:pStyle w:val="Compact"/>
            </w:pPr>
            <w:r>
              <w:t>Yes in substance, though the enforcing mechanism differs from cross-border enforcement: the original order remains valid, and the aggrieved parent can seek its execution, or file for its transfer or a fresh application for variation, before the Family Court of the district where the child is now residing, supported by certified copies of the original order.</w:t>
            </w:r>
          </w:p>
        </w:tc>
        <w:tc>
          <w:tcPr>
            <w:tcW w:w="0" w:type="auto"/>
          </w:tcPr>
          <w:p w14:paraId="02F0FC34" w14:textId="77777777" w:rsidR="00E13E11" w:rsidRDefault="00C869EB">
            <w:pPr>
              <w:pStyle w:val="Compact"/>
            </w:pPr>
            <w:r>
              <w:t>Family Courts Act 1964, s.17A; Code of Civil Procedure 1908, provisions on execution in a different jurisdiction, applied by analogy</w:t>
            </w:r>
          </w:p>
        </w:tc>
      </w:tr>
    </w:tbl>
    <w:p w14:paraId="39268DF6" w14:textId="0E8A7881" w:rsidR="00E13E11" w:rsidRDefault="00C869EB">
      <w:pPr>
        <w:pStyle w:val="Heading3"/>
      </w:pPr>
      <w:bookmarkStart w:id="7" w:name="X989670d2906f74515f66a70f4a9ab5f587f5c55"/>
      <w:bookmarkEnd w:id="6"/>
      <w:r>
        <w:t xml:space="preserve"> Advocate / Lawyer, Child Welfare Officer, Social Welfare Officer, Psychologist, Police Officer (Secondary)</w:t>
      </w:r>
    </w:p>
    <w:tbl>
      <w:tblPr>
        <w:tblStyle w:val="Table"/>
        <w:tblW w:w="5000" w:type="pct"/>
        <w:tblLook w:val="0020" w:firstRow="1" w:lastRow="0" w:firstColumn="0" w:lastColumn="0" w:noHBand="0" w:noVBand="0"/>
      </w:tblPr>
      <w:tblGrid>
        <w:gridCol w:w="389"/>
        <w:gridCol w:w="2664"/>
        <w:gridCol w:w="4156"/>
        <w:gridCol w:w="2141"/>
      </w:tblGrid>
      <w:tr w:rsidR="00E13E11" w14:paraId="2B87D566" w14:textId="77777777" w:rsidTr="00E13E11">
        <w:trPr>
          <w:cnfStyle w:val="100000000000" w:firstRow="1" w:lastRow="0" w:firstColumn="0" w:lastColumn="0" w:oddVBand="0" w:evenVBand="0" w:oddHBand="0" w:evenHBand="0" w:firstRowFirstColumn="0" w:firstRowLastColumn="0" w:lastRowFirstColumn="0" w:lastRowLastColumn="0"/>
        </w:trPr>
        <w:tc>
          <w:tcPr>
            <w:tcW w:w="0" w:type="auto"/>
          </w:tcPr>
          <w:p w14:paraId="1720F11C" w14:textId="77777777" w:rsidR="00E13E11" w:rsidRDefault="00C869EB">
            <w:pPr>
              <w:pStyle w:val="Compact"/>
            </w:pPr>
            <w:r>
              <w:t>#</w:t>
            </w:r>
          </w:p>
        </w:tc>
        <w:tc>
          <w:tcPr>
            <w:tcW w:w="0" w:type="auto"/>
          </w:tcPr>
          <w:p w14:paraId="65CE715F" w14:textId="77777777" w:rsidR="00E13E11" w:rsidRDefault="00C869EB">
            <w:pPr>
              <w:pStyle w:val="Compact"/>
            </w:pPr>
            <w:r>
              <w:t>Question</w:t>
            </w:r>
          </w:p>
        </w:tc>
        <w:tc>
          <w:tcPr>
            <w:tcW w:w="0" w:type="auto"/>
          </w:tcPr>
          <w:p w14:paraId="3BE03E2D" w14:textId="77777777" w:rsidR="00E13E11" w:rsidRDefault="00C869EB">
            <w:pPr>
              <w:pStyle w:val="Compact"/>
            </w:pPr>
            <w:r>
              <w:t>Answer</w:t>
            </w:r>
          </w:p>
        </w:tc>
        <w:tc>
          <w:tcPr>
            <w:tcW w:w="0" w:type="auto"/>
          </w:tcPr>
          <w:p w14:paraId="24BE1712" w14:textId="77777777" w:rsidR="00E13E11" w:rsidRDefault="00C869EB">
            <w:pPr>
              <w:pStyle w:val="Compact"/>
            </w:pPr>
            <w:r>
              <w:t>Law Reference</w:t>
            </w:r>
          </w:p>
        </w:tc>
      </w:tr>
      <w:tr w:rsidR="00E13E11" w14:paraId="7D27AC42" w14:textId="77777777">
        <w:tc>
          <w:tcPr>
            <w:tcW w:w="0" w:type="auto"/>
          </w:tcPr>
          <w:p w14:paraId="151264F4" w14:textId="77777777" w:rsidR="00E13E11" w:rsidRDefault="00C869EB">
            <w:pPr>
              <w:pStyle w:val="Compact"/>
            </w:pPr>
            <w:r>
              <w:t>1</w:t>
            </w:r>
          </w:p>
        </w:tc>
        <w:tc>
          <w:tcPr>
            <w:tcW w:w="0" w:type="auto"/>
          </w:tcPr>
          <w:p w14:paraId="7DB78F45" w14:textId="77777777" w:rsidR="00E13E11" w:rsidRDefault="00C869EB">
            <w:pPr>
              <w:pStyle w:val="Compact"/>
            </w:pPr>
            <w:r>
              <w:t>What happens if the custodial parent obstructs court-ordered visitation?</w:t>
            </w:r>
          </w:p>
        </w:tc>
        <w:tc>
          <w:tcPr>
            <w:tcW w:w="0" w:type="auto"/>
          </w:tcPr>
          <w:p w14:paraId="060057D6" w14:textId="77777777" w:rsidR="00E13E11" w:rsidRDefault="00C869EB">
            <w:pPr>
              <w:pStyle w:val="Compact"/>
            </w:pPr>
            <w:r>
              <w:t>The aggrieved parent can seek execution or enforcement of the visitation order, including police assistance where necessary, and the obstructing party may face coercive measures.</w:t>
            </w:r>
          </w:p>
        </w:tc>
        <w:tc>
          <w:tcPr>
            <w:tcW w:w="0" w:type="auto"/>
          </w:tcPr>
          <w:p w14:paraId="56365354" w14:textId="77777777" w:rsidR="00E13E11" w:rsidRDefault="00C869EB">
            <w:pPr>
              <w:pStyle w:val="Compact"/>
            </w:pPr>
            <w:r>
              <w:t>Family Courts Act 1964, s.17A, execution</w:t>
            </w:r>
          </w:p>
        </w:tc>
      </w:tr>
      <w:tr w:rsidR="00E13E11" w14:paraId="22098D3E" w14:textId="77777777">
        <w:tc>
          <w:tcPr>
            <w:tcW w:w="0" w:type="auto"/>
          </w:tcPr>
          <w:p w14:paraId="76084BA5" w14:textId="77777777" w:rsidR="00E13E11" w:rsidRDefault="00C869EB">
            <w:pPr>
              <w:pStyle w:val="Compact"/>
            </w:pPr>
            <w:r>
              <w:t>2</w:t>
            </w:r>
          </w:p>
        </w:tc>
        <w:tc>
          <w:tcPr>
            <w:tcW w:w="0" w:type="auto"/>
          </w:tcPr>
          <w:p w14:paraId="374AF9E5" w14:textId="77777777" w:rsidR="00E13E11" w:rsidRDefault="00C869EB">
            <w:pPr>
              <w:pStyle w:val="Compact"/>
            </w:pPr>
            <w:r>
              <w:t>Can a Social or Child Welfare Officer be tasked with monitoring visitation compliance?</w:t>
            </w:r>
          </w:p>
        </w:tc>
        <w:tc>
          <w:tcPr>
            <w:tcW w:w="0" w:type="auto"/>
          </w:tcPr>
          <w:p w14:paraId="526190E5" w14:textId="77777777" w:rsidR="00E13E11" w:rsidRDefault="00C869EB">
            <w:pPr>
              <w:pStyle w:val="Compact"/>
            </w:pPr>
            <w:r>
              <w:t>Yes. Courts may direct such officers to facilitate or monitor visitation where conflict exists between the parents.</w:t>
            </w:r>
          </w:p>
        </w:tc>
        <w:tc>
          <w:tcPr>
            <w:tcW w:w="0" w:type="auto"/>
          </w:tcPr>
          <w:p w14:paraId="04007EB5" w14:textId="77777777" w:rsidR="00E13E11" w:rsidRDefault="00C869EB">
            <w:pPr>
              <w:pStyle w:val="Compact"/>
            </w:pPr>
            <w:r>
              <w:t>Provincial Child Protection legislation; Family Court practice</w:t>
            </w:r>
          </w:p>
        </w:tc>
      </w:tr>
    </w:tbl>
    <w:p w14:paraId="637C52CC" w14:textId="77777777" w:rsidR="00E13E11" w:rsidRDefault="0096688C">
      <w:r>
        <w:rPr>
          <w:noProof/>
        </w:rPr>
      </w:r>
      <w:r w:rsidR="0096688C">
        <w:rPr>
          <w:noProof/>
        </w:rPr>
        <w:pict w14:anchorId="7AA89780">
          <v:rect id="_x0000_i1032" style="width:0;height:1.5pt" o:hralign="center" o:hrstd="t" o:hr="t"/>
        </w:pict>
      </w:r>
    </w:p>
    <w:p w14:paraId="57BD0B4C" w14:textId="179B208F" w:rsidR="00E13E11" w:rsidRDefault="00E13E11" w:rsidP="005B0E9C">
      <w:bookmarkStart w:id="8" w:name="disclaimer"/>
      <w:bookmarkEnd w:id="7"/>
      <w:bookmarkEnd w:id="3"/>
    </w:p>
    <w:bookmarkEnd w:id="8"/>
    <w:bookmarkEnd w:id="0"/>
    <w:sectPr w:rsidR="00E13E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AF125D" w14:textId="77777777" w:rsidR="00C869EB" w:rsidRDefault="00C869EB">
      <w:pPr>
        <w:spacing w:after="0"/>
      </w:pPr>
      <w:r>
        <w:separator/>
      </w:r>
    </w:p>
  </w:endnote>
  <w:endnote w:type="continuationSeparator" w:id="0">
    <w:p w14:paraId="4F93E355" w14:textId="77777777" w:rsidR="00C869EB" w:rsidRDefault="00C869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1E27B" w14:textId="77777777" w:rsidR="00E13E11" w:rsidRDefault="00C869EB">
      <w:r>
        <w:separator/>
      </w:r>
    </w:p>
  </w:footnote>
  <w:footnote w:type="continuationSeparator" w:id="0">
    <w:p w14:paraId="6F08C72C" w14:textId="77777777" w:rsidR="00E13E11" w:rsidRDefault="00C8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6037043">
    <w:abstractNumId w:val="0"/>
  </w:num>
  <w:num w:numId="2" w16cid:durableId="521013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1197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1"/>
    <w:rsid w:val="00134236"/>
    <w:rsid w:val="004747C3"/>
    <w:rsid w:val="004C3B9D"/>
    <w:rsid w:val="005B0E9C"/>
    <w:rsid w:val="00676D34"/>
    <w:rsid w:val="006D7692"/>
    <w:rsid w:val="0071732C"/>
    <w:rsid w:val="00787D0F"/>
    <w:rsid w:val="0096688C"/>
    <w:rsid w:val="00A87002"/>
    <w:rsid w:val="00C34B59"/>
    <w:rsid w:val="00C869EB"/>
    <w:rsid w:val="00E13E11"/>
    <w:rsid w:val="00EC38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954C9D7"/>
  <w15:docId w15:val="{D3FD6536-02E4-544E-9786-5C0E4B97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3864"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864"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F3864"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F3864"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F3864"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F3864"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F3864"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F3864"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F386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864" w:themeColor="accen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1F3864"/>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B8C4D9"/>
        <w:left w:val="single" w:sz="4" w:space="0" w:color="B8C4D9"/>
        <w:bottom w:val="single" w:sz="4" w:space="0" w:color="B8C4D9"/>
        <w:right w:val="single" w:sz="4" w:space="0" w:color="B8C4D9"/>
        <w:insideH w:val="single" w:sz="4" w:space="0" w:color="B8C4D9"/>
        <w:insideV w:val="single" w:sz="4" w:space="0" w:color="B8C4D9"/>
      </w:tblBorders>
      <w:tblCellMar>
        <w:top w:w="60" w:type="dxa"/>
        <w:left w:w="120" w:type="dxa"/>
        <w:bottom w:w="60" w:type="dxa"/>
        <w:right w:w="120" w:type="dxa"/>
      </w:tblCellMar>
    </w:tblPr>
    <w:tblStylePr w:type="firstRow">
      <w:rPr>
        <w:b/>
        <w:color w:val="FFFFFF"/>
      </w:rPr>
      <w:tblPr>
        <w:jc w:val="left"/>
      </w:tblPr>
      <w:trPr>
        <w:tblHeader/>
        <w:jc w:val="left"/>
      </w:trPr>
      <w:tcPr>
        <w:tcBorders>
          <w:bottom w:val="single" w:sz="4" w:space="0" w:color="1F3864"/>
        </w:tcBorders>
        <w:shd w:val="clear" w:color="auto" w:fill="1F3864"/>
        <w:vAlign w:val="center"/>
      </w:tcPr>
    </w:tblStylePr>
    <w:tblStylePr w:type="band1Horz">
      <w:tblPr/>
      <w:tcPr>
        <w:shd w:val="clear" w:color="auto" w:fill="EEF1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86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17294A"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F386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Family Law System</dc:title>
  <dc:creator/>
  <cp:keywords/>
  <cp:lastModifiedBy>hareem124@outlook.com</cp:lastModifiedBy>
  <cp:revision>2</cp:revision>
  <dcterms:created xsi:type="dcterms:W3CDTF">2026-08-03T06:57:00Z</dcterms:created>
  <dcterms:modified xsi:type="dcterms:W3CDTF">2026-08-03T06:57:00Z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 Bank ��� Reference Edition</vt:lpwstr>
  </property>
</Properties>
</file>