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tLeast" w:line="520" w:before="700" w:after="200"/>
        <w:jc w:val="center"/>
        <w:rPr/>
      </w:pPr>
      <w:r>
        <w:rPr>
          <w:rFonts w:ascii="Times New Roman" w:hAnsi="Times New Roman" w:cs="Simplified Arabic"/>
          <w:b/>
          <w:b/>
          <w:bCs/>
          <w:i w:val="false"/>
          <w:i w:val="false"/>
          <w:iCs w:val="false"/>
          <w:color w:val="000000"/>
          <w:sz w:val="44"/>
          <w:sz w:val="44"/>
          <w:szCs w:val="44"/>
          <w:rtl w:val="true"/>
        </w:rPr>
        <w:t>كلية التربية الرياضية</w:t>
      </w:r>
    </w:p>
    <w:p>
      <w:pPr>
        <w:pStyle w:val="Normal"/>
        <w:bidi w:val="1"/>
        <w:spacing w:lineRule="atLeast" w:line="360" w:before="0" w:after="500"/>
        <w:jc w:val="center"/>
        <w:rPr/>
      </w:pPr>
      <w:r>
        <w:rPr>
          <w:rFonts w:ascii="Times New Roman" w:hAnsi="Times New Roman"/>
          <w:b w:val="false"/>
          <w:b w:val="false"/>
          <w:bCs w:val="false"/>
          <w:i w:val="false"/>
          <w:i w:val="false"/>
          <w:iCs w:val="false"/>
          <w:color w:val="000000"/>
          <w:sz w:val="28"/>
          <w:sz w:val="28"/>
          <w:szCs w:val="28"/>
          <w:rtl w:val="true"/>
        </w:rPr>
        <w:t>قسم علوم الرياضة والصحة</w:t>
      </w:r>
    </w:p>
    <w:p>
      <w:pPr>
        <w:pStyle w:val="Normal"/>
        <w:bidi w:val="1"/>
        <w:spacing w:lineRule="atLeast" w:line="420" w:before="0" w:after="700"/>
        <w:jc w:val="center"/>
        <w:rPr/>
      </w:pPr>
      <w:r>
        <w:rPr>
          <w:rFonts w:ascii="Times New Roman" w:hAnsi="Times New Roman" w:cs="Simplified Arabic"/>
          <w:b/>
          <w:b/>
          <w:bCs/>
          <w:i w:val="false"/>
          <w:i w:val="false"/>
          <w:iCs w:val="false"/>
          <w:color w:val="000000"/>
          <w:sz w:val="34"/>
          <w:sz w:val="34"/>
          <w:szCs w:val="34"/>
          <w:rtl w:val="true"/>
        </w:rPr>
        <w:t xml:space="preserve">أطروحة تخرج لنيل درجة البكالوريوس </w:t>
      </w:r>
    </w:p>
    <w:p>
      <w:pPr>
        <w:pStyle w:val="Normal"/>
        <w:bidi w:val="1"/>
        <w:spacing w:lineRule="atLeast" w:line="340" w:before="0" w:after="160"/>
        <w:jc w:val="center"/>
        <w:rPr/>
      </w:pPr>
      <w:r>
        <w:rPr>
          <w:rFonts w:ascii="Times New Roman" w:hAnsi="Times New Roman"/>
          <w:b w:val="false"/>
          <w:b w:val="false"/>
          <w:bCs w:val="false"/>
          <w:i w:val="false"/>
          <w:i w:val="false"/>
          <w:iCs w:val="false"/>
          <w:color w:val="333333"/>
          <w:sz w:val="26"/>
          <w:sz w:val="26"/>
          <w:szCs w:val="26"/>
          <w:rtl w:val="true"/>
        </w:rPr>
        <w:t>عنوان البحث</w:t>
      </w:r>
    </w:p>
    <w:p>
      <w:pPr>
        <w:pStyle w:val="Normal"/>
        <w:bidi w:val="1"/>
        <w:spacing w:lineRule="atLeast" w:line="500" w:before="0" w:after="100"/>
        <w:jc w:val="center"/>
        <w:rPr/>
      </w:pPr>
      <w:r>
        <w:rPr>
          <w:rFonts w:ascii="Times New Roman" w:hAnsi="Times New Roman" w:cs="Simplified Arabic"/>
          <w:b/>
          <w:b/>
          <w:bCs/>
          <w:i w:val="false"/>
          <w:i w:val="false"/>
          <w:iCs w:val="false"/>
          <w:color w:val="000000"/>
          <w:sz w:val="40"/>
          <w:sz w:val="40"/>
          <w:szCs w:val="40"/>
          <w:rtl w:val="true"/>
        </w:rPr>
        <w:t>تأثير الجهد البدني والعضلي</w:t>
      </w:r>
    </w:p>
    <w:p>
      <w:pPr>
        <w:pStyle w:val="Normal"/>
        <w:bidi w:val="1"/>
        <w:spacing w:lineRule="atLeast" w:line="500" w:before="0" w:after="200"/>
        <w:jc w:val="center"/>
        <w:rPr/>
      </w:pPr>
      <w:r>
        <w:rPr>
          <w:rFonts w:ascii="Times New Roman" w:hAnsi="Times New Roman" w:cs="Simplified Arabic"/>
          <w:b/>
          <w:b/>
          <w:bCs/>
          <w:i w:val="false"/>
          <w:i w:val="false"/>
          <w:iCs w:val="false"/>
          <w:color w:val="000000"/>
          <w:sz w:val="40"/>
          <w:sz w:val="40"/>
          <w:szCs w:val="40"/>
          <w:rtl w:val="true"/>
        </w:rPr>
        <w:t>على مرضى السكري</w:t>
      </w:r>
    </w:p>
    <w:p>
      <w:pPr>
        <w:pStyle w:val="Normal"/>
        <w:spacing w:lineRule="atLeast" w:line="320" w:before="0" w:after="700"/>
        <w:jc w:val="center"/>
        <w:rPr/>
      </w:pPr>
      <w:r>
        <w:rPr>
          <w:rFonts w:ascii="Times New Roman" w:hAnsi="Times New Roman"/>
          <w:b w:val="false"/>
          <w:bCs w:val="false"/>
          <w:i/>
          <w:iCs/>
          <w:color w:val="000000"/>
          <w:sz w:val="24"/>
          <w:szCs w:val="24"/>
        </w:rPr>
        <w:t xml:space="preserve"> </w:t>
      </w:r>
    </w:p>
    <w:tbl>
      <w:tblPr>
        <w:bidiVisual w:val="true"/>
        <w:tblW w:w="3100" w:type="pct"/>
        <w:jc w:val="center"/>
        <w:tblInd w:w="0" w:type="dxa"/>
        <w:tblLayout w:type="fixed"/>
        <w:tblCellMar>
          <w:top w:w="60" w:type="dxa"/>
          <w:left w:w="60" w:type="dxa"/>
          <w:bottom w:w="60" w:type="dxa"/>
          <w:right w:w="60" w:type="dxa"/>
        </w:tblCellMar>
      </w:tblPr>
      <w:tblGrid>
        <w:gridCol w:w="2723"/>
        <w:gridCol w:w="2724"/>
      </w:tblGrid>
      <w:tr>
        <w:trPr>
          <w:cantSplit w:val="true"/>
        </w:trPr>
        <w:tc>
          <w:tcPr>
            <w:tcW w:w="2723" w:type="dxa"/>
            <w:tcBorders/>
          </w:tcPr>
          <w:p>
            <w:pPr>
              <w:pStyle w:val="Normal"/>
              <w:bidi w:val="1"/>
              <w:spacing w:lineRule="atLeast" w:line="380"/>
              <w:jc w:val="left"/>
              <w:rPr/>
            </w:pPr>
            <w:r>
              <w:rPr>
                <w:rFonts w:ascii="Times New Roman" w:hAnsi="Times New Roman" w:cs="Simplified Arabic"/>
                <w:b/>
                <w:b/>
                <w:bCs/>
                <w:i w:val="false"/>
                <w:i w:val="false"/>
                <w:iCs w:val="false"/>
                <w:color w:val="000000"/>
                <w:sz w:val="28"/>
                <w:sz w:val="28"/>
                <w:szCs w:val="28"/>
                <w:rtl w:val="true"/>
              </w:rPr>
              <w:t>إعداد الطالب</w:t>
            </w:r>
            <w:r>
              <w:rPr>
                <w:rFonts w:cs="Simplified Arabic"/>
                <w:b/>
                <w:bCs/>
                <w:i w:val="false"/>
                <w:iCs w:val="false"/>
                <w:color w:val="000000"/>
                <w:sz w:val="28"/>
                <w:szCs w:val="28"/>
                <w:rtl w:val="true"/>
              </w:rPr>
              <w:t>:</w:t>
            </w:r>
          </w:p>
        </w:tc>
        <w:tc>
          <w:tcPr>
            <w:tcW w:w="2724" w:type="dxa"/>
            <w:tcBorders>
              <w:bottom w:val="single" w:sz="4" w:space="0" w:color="000000"/>
            </w:tcBorders>
          </w:tcPr>
          <w:p>
            <w:pPr>
              <w:pStyle w:val="Normal"/>
              <w:bidi w:val="1"/>
              <w:spacing w:lineRule="atLeast" w:line="380"/>
              <w:jc w:val="center"/>
              <w:rPr/>
            </w:pPr>
            <w:r>
              <w:rPr>
                <w:rFonts w:ascii="Times New Roman" w:hAnsi="Times New Roman"/>
                <w:b w:val="false"/>
                <w:b w:val="false"/>
                <w:bCs w:val="false"/>
                <w:i w:val="false"/>
                <w:i w:val="false"/>
                <w:iCs w:val="false"/>
                <w:color w:val="000000"/>
                <w:sz w:val="28"/>
                <w:sz w:val="28"/>
                <w:szCs w:val="28"/>
                <w:rtl w:val="true"/>
              </w:rPr>
              <w:t>يوسف سليمان</w:t>
            </w:r>
          </w:p>
        </w:tc>
      </w:tr>
      <w:tr>
        <w:trPr>
          <w:cantSplit w:val="true"/>
        </w:trPr>
        <w:tc>
          <w:tcPr>
            <w:tcW w:w="2723" w:type="dxa"/>
            <w:tcBorders/>
          </w:tcPr>
          <w:p>
            <w:pPr>
              <w:pStyle w:val="Normal"/>
              <w:bidi w:val="1"/>
              <w:spacing w:lineRule="atLeast" w:line="380"/>
              <w:jc w:val="left"/>
              <w:rPr/>
            </w:pPr>
            <w:r>
              <w:rPr>
                <w:rFonts w:ascii="Times New Roman" w:hAnsi="Times New Roman" w:cs="Simplified Arabic"/>
                <w:b/>
                <w:b/>
                <w:bCs/>
                <w:i w:val="false"/>
                <w:i w:val="false"/>
                <w:iCs w:val="false"/>
                <w:color w:val="000000"/>
                <w:sz w:val="28"/>
                <w:sz w:val="28"/>
                <w:szCs w:val="28"/>
                <w:rtl w:val="true"/>
              </w:rPr>
              <w:t>تحت إشراف</w:t>
            </w:r>
            <w:r>
              <w:rPr>
                <w:rFonts w:cs="Simplified Arabic"/>
                <w:b/>
                <w:bCs/>
                <w:i w:val="false"/>
                <w:iCs w:val="false"/>
                <w:color w:val="000000"/>
                <w:sz w:val="28"/>
                <w:szCs w:val="28"/>
                <w:rtl w:val="true"/>
              </w:rPr>
              <w:t>:</w:t>
            </w:r>
          </w:p>
        </w:tc>
        <w:tc>
          <w:tcPr>
            <w:tcW w:w="2724" w:type="dxa"/>
            <w:tcBorders>
              <w:bottom w:val="single" w:sz="4" w:space="0" w:color="000000"/>
            </w:tcBorders>
          </w:tcPr>
          <w:p>
            <w:pPr>
              <w:pStyle w:val="Normal"/>
              <w:bidi w:val="1"/>
              <w:spacing w:lineRule="atLeast" w:line="380"/>
              <w:jc w:val="center"/>
              <w:rPr/>
            </w:pPr>
            <w:r>
              <w:rPr>
                <w:rFonts w:ascii="Times New Roman" w:hAnsi="Times New Roman"/>
                <w:b w:val="false"/>
                <w:bCs w:val="false"/>
                <w:i w:val="false"/>
                <w:iCs w:val="false"/>
                <w:color w:val="000000"/>
                <w:sz w:val="28"/>
                <w:szCs w:val="28"/>
                <w:rtl w:val="true"/>
              </w:rPr>
              <w:t xml:space="preserve"> </w:t>
            </w:r>
          </w:p>
        </w:tc>
      </w:tr>
      <w:tr>
        <w:trPr>
          <w:cantSplit w:val="true"/>
        </w:trPr>
        <w:tc>
          <w:tcPr>
            <w:tcW w:w="2723" w:type="dxa"/>
            <w:tcBorders/>
          </w:tcPr>
          <w:p>
            <w:pPr>
              <w:pStyle w:val="Normal"/>
              <w:bidi w:val="1"/>
              <w:spacing w:lineRule="atLeast" w:line="380"/>
              <w:jc w:val="left"/>
              <w:rPr/>
            </w:pPr>
            <w:r>
              <w:rPr>
                <w:rFonts w:ascii="Times New Roman" w:hAnsi="Times New Roman" w:cs="Simplified Arabic"/>
                <w:b/>
                <w:b/>
                <w:bCs/>
                <w:i w:val="false"/>
                <w:i w:val="false"/>
                <w:iCs w:val="false"/>
                <w:color w:val="000000"/>
                <w:sz w:val="28"/>
                <w:sz w:val="28"/>
                <w:szCs w:val="28"/>
                <w:rtl w:val="true"/>
              </w:rPr>
              <w:t>العام الجامعي</w:t>
            </w:r>
            <w:r>
              <w:rPr>
                <w:rFonts w:cs="Simplified Arabic"/>
                <w:b/>
                <w:bCs/>
                <w:i w:val="false"/>
                <w:iCs w:val="false"/>
                <w:color w:val="000000"/>
                <w:sz w:val="28"/>
                <w:szCs w:val="28"/>
                <w:rtl w:val="true"/>
              </w:rPr>
              <w:t>:</w:t>
            </w:r>
          </w:p>
        </w:tc>
        <w:tc>
          <w:tcPr>
            <w:tcW w:w="2724" w:type="dxa"/>
            <w:tcBorders>
              <w:bottom w:val="single" w:sz="4" w:space="0" w:color="000000"/>
            </w:tcBorders>
          </w:tcPr>
          <w:p>
            <w:pPr>
              <w:pStyle w:val="Normal"/>
              <w:bidi w:val="1"/>
              <w:spacing w:lineRule="atLeast" w:line="380"/>
              <w:jc w:val="center"/>
              <w:rPr/>
            </w:pPr>
            <w:r>
              <w:rPr>
                <w:rFonts w:cs="Traditional Arabic"/>
                <w:b w:val="false"/>
                <w:bCs w:val="false"/>
                <w:i w:val="false"/>
                <w:iCs w:val="false"/>
                <w:color w:val="000000"/>
                <w:sz w:val="28"/>
                <w:szCs w:val="28"/>
              </w:rPr>
              <w:t>202</w:t>
            </w:r>
            <w:r>
              <w:rPr>
                <w:rFonts w:cs="Traditional Arabic"/>
                <w:b w:val="false"/>
                <w:bCs w:val="false"/>
                <w:i w:val="false"/>
                <w:iCs w:val="false"/>
                <w:color w:val="000000"/>
                <w:sz w:val="28"/>
                <w:szCs w:val="28"/>
              </w:rPr>
              <w:t>6</w:t>
            </w:r>
            <w:r>
              <w:rPr>
                <w:rFonts w:cs="Traditional Arabic"/>
                <w:b w:val="false"/>
                <w:bCs w:val="false"/>
                <w:i w:val="false"/>
                <w:iCs w:val="false"/>
                <w:color w:val="000000"/>
                <w:sz w:val="28"/>
                <w:szCs w:val="28"/>
                <w:rtl w:val="true"/>
              </w:rPr>
              <w:t xml:space="preserve"> / </w:t>
            </w:r>
            <w:r>
              <w:rPr>
                <w:rFonts w:cs="Traditional Arabic"/>
                <w:b w:val="false"/>
                <w:bCs w:val="false"/>
                <w:i w:val="false"/>
                <w:iCs w:val="false"/>
                <w:color w:val="000000"/>
                <w:sz w:val="28"/>
                <w:szCs w:val="28"/>
              </w:rPr>
              <w:t>202</w:t>
            </w:r>
            <w:r>
              <w:rPr>
                <w:rFonts w:cs="Traditional Arabic"/>
                <w:b w:val="false"/>
                <w:bCs w:val="false"/>
                <w:i w:val="false"/>
                <w:iCs w:val="false"/>
                <w:color w:val="000000"/>
                <w:sz w:val="28"/>
                <w:szCs w:val="28"/>
              </w:rPr>
              <w:t>7</w:t>
            </w:r>
          </w:p>
        </w:tc>
      </w:tr>
    </w:tbl>
    <w:p>
      <w:pPr>
        <w:sectPr>
          <w:type w:val="nextPage"/>
          <w:pgSz w:w="11906" w:h="16838"/>
          <w:pgMar w:left="1701" w:right="1417" w:gutter="0" w:header="0" w:top="1440" w:footer="0" w:bottom="1440"/>
          <w:pgNumType w:fmt="decimal"/>
          <w:formProt w:val="false"/>
          <w:textDirection w:val="lrTb"/>
          <w:bidi/>
          <w:docGrid w:type="default" w:linePitch="360" w:charSpace="4294950911"/>
        </w:sectPr>
        <w:pStyle w:val="Normal"/>
        <w:bidi w:val="1"/>
        <w:spacing w:lineRule="atLeast" w:line="360" w:before="800" w:after="0"/>
        <w:jc w:val="center"/>
        <w:rPr>
          <w:rFonts w:ascii="Times New Roman" w:hAnsi="Times New Roman" w:cs="Traditional Arabic"/>
          <w:b w:val="false"/>
          <w:bCs w:val="false"/>
          <w:i w:val="false"/>
          <w:i w:val="false"/>
          <w:iCs w:val="false"/>
          <w:color w:val="000000"/>
          <w:sz w:val="28"/>
          <w:szCs w:val="28"/>
        </w:rPr>
      </w:pPr>
      <w:r>
        <w:rPr>
          <w:rtl w:val="true"/>
        </w:rPr>
      </w:r>
    </w:p>
    <w:p>
      <w:pPr>
        <w:pStyle w:val="Normal"/>
        <w:bidi w:val="1"/>
        <w:spacing w:lineRule="atLeast" w:line="460" w:before="200" w:after="300"/>
        <w:jc w:val="center"/>
        <w:rPr/>
      </w:pPr>
      <w:r>
        <w:rPr>
          <w:rFonts w:ascii="Times New Roman" w:hAnsi="Times New Roman"/>
          <w:b/>
          <w:b/>
          <w:bCs/>
          <w:i w:val="false"/>
          <w:i w:val="false"/>
          <w:iCs w:val="false"/>
          <w:color w:val="000000"/>
          <w:sz w:val="36"/>
          <w:sz w:val="36"/>
          <w:szCs w:val="36"/>
          <w:rtl w:val="true"/>
        </w:rPr>
        <w:t>شكر وتقدير</w:t>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الحمد لله الذي بنعمته تتم الصالحات، والشكر موصول لأستاذي الفاضل الدكتور </w:t>
      </w:r>
      <w:r>
        <w:rPr>
          <w:rFonts w:ascii="Times New Roman" w:hAnsi="Times New Roman"/>
          <w:b w:val="false"/>
          <w:b w:val="false"/>
          <w:bCs w:val="false"/>
          <w:i w:val="false"/>
          <w:i w:val="false"/>
          <w:iCs w:val="false"/>
          <w:color w:val="000000"/>
          <w:sz w:val="32"/>
          <w:sz w:val="32"/>
          <w:szCs w:val="32"/>
          <w:rtl w:val="true"/>
        </w:rPr>
        <w:t xml:space="preserve"> </w:t>
      </w:r>
      <w:r>
        <w:rPr>
          <w:rFonts w:cs="Traditional Arabic"/>
          <w:b w:val="false"/>
          <w:bCs w:val="false"/>
          <w:i w:val="false"/>
          <w:iCs w:val="false"/>
          <w:color w:val="000000"/>
          <w:sz w:val="32"/>
          <w:szCs w:val="32"/>
          <w:rtl w:val="true"/>
        </w:rPr>
        <w:t xml:space="preserve">"                     “ </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الذي تولى الإشراف على هذه الأطروحة بعناية علمية رفيعة، فأرشدني إلى مصادر المعلومة الصحيحة، وصحح لي مسار التجربة الميدانية في مراحلها القياسية والتحليلية، ولم يتوانَ لحظة في متابعة تفاصيل التطبيق الأسبوعية حتى خرج هذا العمل إلى النور على الوجه المطلوب</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وأتوج  بالامتنان إلى الطاقم الطبي والمعملي في العيادة المرجعية لتعاونهم الكامل في سحب العينات وإجراء التحاليل، وإلى أخصائيي قاعة التدريب الذين شاركوا في الإشراف الآمن على الحصص، وإلى المرضى المشاركين الذين حملوا على عاتقهم التزام الاثني عشر أسبوعًا كاملة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والشكر موصول كذلك للأسرة الدامغة التي احتملت ظروف الدراسة وساندتني فيها، ولكل من قدّم لي نصيحة أو مساندة خلال مسيرة الإعداد</w:t>
      </w:r>
      <w:r>
        <w:rPr>
          <w:rFonts w:cs="Traditional Arabic"/>
          <w:b w:val="false"/>
          <w:bCs w:val="false"/>
          <w:i w:val="false"/>
          <w:iCs w:val="false"/>
          <w:color w:val="000000"/>
          <w:sz w:val="32"/>
          <w:szCs w:val="32"/>
          <w:rtl w:val="true"/>
        </w:rPr>
        <w:t>.</w:t>
      </w:r>
    </w:p>
    <w:p>
      <w:pPr>
        <w:pStyle w:val="Normal"/>
        <w:bidi w:val="1"/>
        <w:spacing w:lineRule="atLeast" w:line="360" w:before="0" w:after="120"/>
        <w:jc w:val="both"/>
        <w:rPr/>
      </w:pPr>
      <w:r>
        <w:rPr>
          <w:rFonts w:ascii="Times New Roman" w:hAnsi="Times New Roman"/>
          <w:b/>
          <w:b/>
          <w:bCs/>
          <w:i w:val="false"/>
          <w:i w:val="false"/>
          <w:iCs w:val="false"/>
          <w:color w:val="000000"/>
          <w:sz w:val="32"/>
          <w:sz w:val="32"/>
          <w:szCs w:val="32"/>
          <w:rtl w:val="true"/>
        </w:rPr>
        <w:t>يوسف سليمان</w:t>
      </w:r>
      <w:r>
        <w:rPr>
          <w:rFonts w:ascii="Times New Roman" w:hAnsi="Times New Roman"/>
          <w:b w:val="false"/>
          <w:b w:val="false"/>
          <w:bCs w:val="false"/>
          <w:i w:val="false"/>
          <w:i w:val="false"/>
          <w:iCs w:val="false"/>
          <w:color w:val="000000"/>
          <w:sz w:val="28"/>
          <w:sz w:val="28"/>
          <w:szCs w:val="28"/>
          <w:rtl w:val="true"/>
        </w:rPr>
        <w:t xml:space="preserve">  —  يونيو </w:t>
      </w:r>
      <w:r>
        <w:rPr>
          <w:rFonts w:cs="Traditional Arabic"/>
          <w:b w:val="false"/>
          <w:bCs w:val="false"/>
          <w:i w:val="false"/>
          <w:iCs w:val="false"/>
          <w:color w:val="000000"/>
          <w:sz w:val="28"/>
          <w:szCs w:val="28"/>
        </w:rPr>
        <w:t>202</w:t>
      </w:r>
      <w:r>
        <w:rPr>
          <w:rFonts w:cs="Traditional Arabic"/>
          <w:b w:val="false"/>
          <w:bCs w:val="false"/>
          <w:i w:val="false"/>
          <w:iCs w:val="false"/>
          <w:color w:val="000000"/>
          <w:sz w:val="28"/>
          <w:szCs w:val="28"/>
        </w:rPr>
        <w:t>7</w:t>
      </w:r>
      <w:r>
        <w:br w:type="page"/>
      </w:r>
    </w:p>
    <w:p>
      <w:pPr>
        <w:pStyle w:val="Normal"/>
        <w:bidi w:val="1"/>
        <w:spacing w:lineRule="atLeast" w:line="460" w:before="0" w:after="300"/>
        <w:jc w:val="center"/>
        <w:rPr/>
      </w:pPr>
      <w:r>
        <w:rPr>
          <w:rFonts w:ascii="Times New Roman" w:hAnsi="Times New Roman"/>
          <w:b/>
          <w:b/>
          <w:bCs/>
          <w:i w:val="false"/>
          <w:i w:val="false"/>
          <w:iCs w:val="false"/>
          <w:color w:val="000000"/>
          <w:sz w:val="36"/>
          <w:sz w:val="36"/>
          <w:szCs w:val="36"/>
          <w:rtl w:val="true"/>
        </w:rPr>
        <w:t>المستخلص</w:t>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هدفت الدراسة إلى التحقق من أثر برنامج تدريبي مدمج يجمع بين الجهد البدني الهوائي والجهد العضلي المقاوم ضمن الحصة التدريبية نفسها، في مستويات السكر التراكمي والسكر الصائم ومقاومة الإنسولين، إلى جانب القوة العضلية ومحيط الخصر ومؤشر كتلة الجسم لدى مرضى السكري من النمط الثاني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واستخدمت الدراسة المنهج شبه التجريبي على عينة قصدية ضمت </w:t>
      </w:r>
      <w:r>
        <w:rPr>
          <w:rFonts w:cs="Traditional Arabic"/>
          <w:b w:val="false"/>
          <w:bCs w:val="false"/>
          <w:i w:val="false"/>
          <w:iCs w:val="false"/>
          <w:color w:val="000000"/>
          <w:sz w:val="32"/>
          <w:szCs w:val="32"/>
        </w:rPr>
        <w:t>30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مريضًا، منهم </w:t>
      </w:r>
      <w:r>
        <w:rPr>
          <w:rFonts w:cs="Traditional Arabic"/>
          <w:b w:val="false"/>
          <w:bCs w:val="false"/>
          <w:i w:val="false"/>
          <w:iCs w:val="false"/>
          <w:color w:val="000000"/>
          <w:sz w:val="32"/>
          <w:szCs w:val="32"/>
        </w:rPr>
        <w:t>12</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ذكرًا و</w:t>
      </w:r>
      <w:r>
        <w:rPr>
          <w:rFonts w:cs="Traditional Arabic"/>
          <w:b w:val="false"/>
          <w:bCs w:val="false"/>
          <w:i w:val="false"/>
          <w:iCs w:val="false"/>
          <w:color w:val="000000"/>
          <w:sz w:val="32"/>
          <w:szCs w:val="32"/>
        </w:rPr>
        <w:t>18</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أنثى، تراوحت أعمارهم بين </w:t>
      </w:r>
      <w:r>
        <w:rPr>
          <w:rFonts w:cs="Traditional Arabic"/>
          <w:b w:val="false"/>
          <w:bCs w:val="false"/>
          <w:i w:val="false"/>
          <w:iCs w:val="false"/>
          <w:color w:val="000000"/>
          <w:sz w:val="32"/>
          <w:szCs w:val="32"/>
        </w:rPr>
        <w:t>45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w:t>
      </w:r>
      <w:r>
        <w:rPr>
          <w:rFonts w:cs="Traditional Arabic"/>
          <w:b w:val="false"/>
          <w:bCs w:val="false"/>
          <w:i w:val="false"/>
          <w:iCs w:val="false"/>
          <w:color w:val="000000"/>
          <w:sz w:val="32"/>
          <w:szCs w:val="32"/>
        </w:rPr>
        <w:t>60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عامًا</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ووزع المشاركون عشوائيًا إلى مجموعتين، تجريبية وضابطة، بواقع </w:t>
      </w:r>
      <w:r>
        <w:rPr>
          <w:rFonts w:cs="Traditional Arabic"/>
          <w:b w:val="false"/>
          <w:bCs w:val="false"/>
          <w:i w:val="false"/>
          <w:iCs w:val="false"/>
          <w:color w:val="000000"/>
          <w:sz w:val="32"/>
          <w:szCs w:val="32"/>
        </w:rPr>
        <w:t>15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مريضًا في كل مجموعة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وخضعت المجموعة التجريبية لبرنامج استمر اثني عشر أسبوعًا، بواقع ثلاث حصص مدمجة أسبوعيًا، تضمنت كل حصة نحو </w:t>
      </w:r>
      <w:r>
        <w:rPr>
          <w:rFonts w:cs="Traditional Arabic"/>
          <w:b w:val="false"/>
          <w:bCs w:val="false"/>
          <w:i w:val="false"/>
          <w:iCs w:val="false"/>
          <w:color w:val="000000"/>
          <w:sz w:val="32"/>
          <w:szCs w:val="32"/>
        </w:rPr>
        <w:t>25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دقيقة من الجهد الهوائي بنسبة تراوحت بين </w:t>
      </w:r>
      <w:r>
        <w:rPr>
          <w:rFonts w:cs="Traditional Arabic"/>
          <w:b w:val="false"/>
          <w:bCs w:val="false"/>
          <w:i w:val="false"/>
          <w:iCs w:val="false"/>
          <w:color w:val="000000"/>
          <w:sz w:val="32"/>
          <w:szCs w:val="32"/>
        </w:rPr>
        <w:t>40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w:t>
      </w:r>
      <w:r>
        <w:rPr>
          <w:rFonts w:cs="Traditional Arabic"/>
          <w:b w:val="false"/>
          <w:bCs w:val="false"/>
          <w:i w:val="false"/>
          <w:iCs w:val="false"/>
          <w:color w:val="000000"/>
          <w:sz w:val="32"/>
          <w:szCs w:val="32"/>
        </w:rPr>
        <w:t>60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من الاحتياطي القلبي، ونحو </w:t>
      </w:r>
      <w:r>
        <w:rPr>
          <w:rFonts w:cs="Traditional Arabic"/>
          <w:b w:val="false"/>
          <w:bCs w:val="false"/>
          <w:i w:val="false"/>
          <w:iCs w:val="false"/>
          <w:color w:val="000000"/>
          <w:sz w:val="32"/>
          <w:szCs w:val="32"/>
        </w:rPr>
        <w:t>25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دقيقة من تمارين المقاومة العضلية بنسبة مماثلة من الحد الأقصى</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أظهرت الدراسة انخفاضًا ذا دلالة إحصائية في السكر التراكمي لدى المجموعة التجريبية، من </w:t>
      </w:r>
      <w:r>
        <w:rPr>
          <w:rFonts w:cs="Traditional Arabic"/>
          <w:b w:val="false"/>
          <w:bCs w:val="false"/>
          <w:i w:val="false"/>
          <w:iCs w:val="false"/>
          <w:color w:val="000000"/>
          <w:sz w:val="32"/>
          <w:szCs w:val="32"/>
        </w:rPr>
        <w:t>8.15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إلى </w:t>
      </w:r>
      <w:r>
        <w:rPr>
          <w:rFonts w:cs="Traditional Arabic"/>
          <w:b w:val="false"/>
          <w:bCs w:val="false"/>
          <w:i w:val="false"/>
          <w:iCs w:val="false"/>
          <w:color w:val="000000"/>
          <w:sz w:val="32"/>
          <w:szCs w:val="32"/>
        </w:rPr>
        <w:t>7.41</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إلى جانب تراجع السكر الصائم بمقدار </w:t>
      </w:r>
      <w:r>
        <w:rPr>
          <w:rFonts w:cs="Traditional Arabic"/>
          <w:b w:val="false"/>
          <w:bCs w:val="false"/>
          <w:i w:val="false"/>
          <w:iCs w:val="false"/>
          <w:color w:val="000000"/>
          <w:sz w:val="32"/>
          <w:szCs w:val="32"/>
        </w:rPr>
        <w:t>33.8</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ملغ</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 xml:space="preserve">دل، وانخفاض مقاومة الإنسولين بنسبة </w:t>
      </w:r>
      <w:r>
        <w:rPr>
          <w:rFonts w:cs="Traditional Arabic"/>
          <w:b w:val="false"/>
          <w:bCs w:val="false"/>
          <w:i w:val="false"/>
          <w:iCs w:val="false"/>
          <w:color w:val="000000"/>
          <w:sz w:val="32"/>
          <w:szCs w:val="32"/>
        </w:rPr>
        <w:t>29.7</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في المائة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كما تحسنت القوة اليدوية بمعدل </w:t>
      </w:r>
      <w:r>
        <w:rPr>
          <w:rFonts w:cs="Traditional Arabic"/>
          <w:b w:val="false"/>
          <w:bCs w:val="false"/>
          <w:i w:val="false"/>
          <w:iCs w:val="false"/>
          <w:color w:val="000000"/>
          <w:sz w:val="32"/>
          <w:szCs w:val="32"/>
        </w:rPr>
        <w:t>16.7</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وانخفض محيط الخصر بمقدار </w:t>
      </w:r>
      <w:r>
        <w:rPr>
          <w:rFonts w:cs="Traditional Arabic"/>
          <w:b w:val="false"/>
          <w:bCs w:val="false"/>
          <w:i w:val="false"/>
          <w:iCs w:val="false"/>
          <w:color w:val="000000"/>
          <w:sz w:val="32"/>
          <w:szCs w:val="32"/>
        </w:rPr>
        <w:t>5.2</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سم، وتراجع مؤشر كتلة الجسم بمقدار </w:t>
      </w:r>
      <w:r>
        <w:rPr>
          <w:rFonts w:cs="Traditional Arabic"/>
          <w:b w:val="false"/>
          <w:bCs w:val="false"/>
          <w:i w:val="false"/>
          <w:iCs w:val="false"/>
          <w:color w:val="000000"/>
          <w:sz w:val="32"/>
          <w:szCs w:val="32"/>
        </w:rPr>
        <w:t>1.8</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وحدة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في المقابل، لم تسجل المجموعة الضابطة أي تغير دال خلال الفترة نفسها</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كذلك تفوقت المجموعة التجريبية على الضابطة في القياس البعدي، مع فروق دالة في جميع المتغيرات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وخلصت الدراسة إلى أن الحصة المدمجة، التي تجمع النمطين في الوحدة التدريبية نفسها، تمثل خيارًا عمليًا وفعالًا لتحسين مؤشرات الضبط الجلايسيمي وتكوين الجسم لدى مرضى السكري من النمط الثاني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وأوصت بإدراج هذا النوع من التدريب في برامج الرعاية الصحية الأولية، تحت إشراف طبي مشترك</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tl w:val="true"/>
        </w:rPr>
      </w:r>
    </w:p>
    <w:p>
      <w:pPr>
        <w:pStyle w:val="Normal"/>
        <w:bidi w:val="1"/>
        <w:spacing w:lineRule="atLeast" w:line="360" w:before="0" w:after="120"/>
        <w:ind w:firstLine="480"/>
        <w:jc w:val="both"/>
        <w:rPr/>
      </w:pPr>
      <w:r>
        <w:rPr>
          <w:rFonts w:ascii="Times New Roman" w:hAnsi="Times New Roman"/>
          <w:b w:val="false"/>
          <w:bCs w:val="false"/>
          <w:i w:val="false"/>
          <w:iCs w:val="false"/>
          <w:color w:val="000000"/>
          <w:sz w:val="32"/>
          <w:szCs w:val="32"/>
          <w:rtl w:val="true"/>
        </w:rPr>
        <w:t xml:space="preserve"> </w:t>
      </w:r>
      <w:r>
        <w:br w:type="page"/>
      </w:r>
    </w:p>
    <w:p>
      <w:pPr>
        <w:pStyle w:val="Normal"/>
        <w:bidi w:val="1"/>
        <w:spacing w:lineRule="atLeast" w:line="460" w:before="0" w:after="360"/>
        <w:jc w:val="center"/>
        <w:rPr/>
      </w:pPr>
      <w:r>
        <w:rPr>
          <w:rFonts w:ascii="Times New Roman" w:hAnsi="Times New Roman" w:cs="Simplified Arabic"/>
          <w:b/>
          <w:b/>
          <w:bCs/>
          <w:i w:val="false"/>
          <w:i w:val="false"/>
          <w:iCs w:val="false"/>
          <w:color w:val="000000"/>
          <w:sz w:val="36"/>
          <w:sz w:val="36"/>
          <w:szCs w:val="36"/>
          <w:rtl w:val="true"/>
        </w:rPr>
        <w:t>المحتويات</w:t>
      </w:r>
    </w:p>
    <w:sdt>
      <w:sdtPr>
        <w:docPartObj>
          <w:docPartGallery w:val="Table of Contents"/>
          <w:docPartUnique w:val="true"/>
        </w:docPartObj>
      </w:sdtPr>
      <w:sdtContent>
        <w:p>
          <w:pPr>
            <w:pStyle w:val="Normal"/>
            <w:jc w:val="right"/>
            <w:rPr/>
          </w:pPr>
          <w:r>
            <w:fldChar w:fldCharType="begin"/>
          </w:r>
          <w:r>
            <w:rPr/>
            <w:instrText xml:space="preserve"> TOC \o "1-3" \h</w:instrText>
          </w:r>
          <w:r>
            <w:rPr/>
            <w:fldChar w:fldCharType="separate"/>
          </w:r>
          <w:sdt>
            <w:sdtPr>
              <w:alias w:val="Table of Contents"/>
              <w:text/>
            </w:sdtPr>
            <w:sdtContent>
              <w:r>
                <w:rPr/>
              </w:r>
              <w:r>
                <w:rPr/>
              </w:r>
            </w:sdtContent>
          </w:sdt>
        </w:p>
        <w:p>
          <w:pPr>
            <w:pStyle w:val="TOC1"/>
            <w:bidi/>
            <w:spacing w:before="120" w:after="60"/>
            <w:rPr/>
          </w:pPr>
          <w:hyperlink w:anchor="_Toc100000">
            <w:r>
              <w:rPr>
                <w:rStyle w:val="Style10"/>
              </w:rPr>
              <w:t>1</w:t>
            </w:r>
            <w:r>
              <w:rPr>
                <w:rStyle w:val="Style10"/>
                <w:rtl w:val="true"/>
              </w:rPr>
              <w:t xml:space="preserve">. </w:t>
            </w:r>
            <w:r>
              <w:rPr>
                <w:rStyle w:val="Style10"/>
                <w:rtl w:val="true"/>
              </w:rPr>
              <w:t>المقدمة</w:t>
            </w:r>
            <w:r>
              <w:rPr>
                <w:rStyle w:val="Style10"/>
                <w:rtl w:val="true"/>
              </w:rPr>
              <w:tab/>
            </w:r>
            <w:r>
              <w:rPr>
                <w:webHidden/>
              </w:rPr>
              <w:fldChar w:fldCharType="begin"/>
            </w:r>
            <w:r>
              <w:rPr>
                <w:webHidden/>
              </w:rPr>
              <w:instrText xml:space="preserve">PAGEREF _Toc100000 \h</w:instrText>
            </w:r>
            <w:r>
              <w:rPr>
                <w:webHidden/>
              </w:rPr>
              <w:fldChar w:fldCharType="separate"/>
            </w:r>
            <w:r>
              <w:rPr>
                <w:rStyle w:val="Style10"/>
              </w:rPr>
              <w:t>4</w:t>
            </w:r>
            <w:r>
              <w:rPr>
                <w:webHidden/>
              </w:rPr>
              <w:fldChar w:fldCharType="end"/>
            </w:r>
          </w:hyperlink>
        </w:p>
        <w:p>
          <w:pPr>
            <w:pStyle w:val="TOC1"/>
            <w:bidi/>
            <w:spacing w:before="120" w:after="60"/>
            <w:rPr/>
          </w:pPr>
          <w:hyperlink w:anchor="_Toc100001">
            <w:r>
              <w:rPr>
                <w:rStyle w:val="Style10"/>
              </w:rPr>
              <w:t>2</w:t>
            </w:r>
            <w:r>
              <w:rPr>
                <w:rStyle w:val="Style10"/>
                <w:rtl w:val="true"/>
              </w:rPr>
              <w:t xml:space="preserve">. </w:t>
            </w:r>
            <w:r>
              <w:rPr>
                <w:rStyle w:val="Style10"/>
                <w:rtl w:val="true"/>
              </w:rPr>
              <w:t>الطرائق والمناهج</w:t>
            </w:r>
            <w:r>
              <w:rPr>
                <w:rStyle w:val="Style10"/>
                <w:rtl w:val="true"/>
              </w:rPr>
              <w:tab/>
            </w:r>
            <w:r>
              <w:rPr>
                <w:webHidden/>
              </w:rPr>
              <w:fldChar w:fldCharType="begin"/>
            </w:r>
            <w:r>
              <w:rPr>
                <w:webHidden/>
              </w:rPr>
              <w:instrText xml:space="preserve">PAGEREF _Toc100001 \h</w:instrText>
            </w:r>
            <w:r>
              <w:rPr>
                <w:webHidden/>
              </w:rPr>
              <w:fldChar w:fldCharType="separate"/>
            </w:r>
            <w:r>
              <w:rPr>
                <w:rStyle w:val="Style10"/>
              </w:rPr>
              <w:t>4</w:t>
            </w:r>
            <w:r>
              <w:rPr>
                <w:webHidden/>
              </w:rPr>
              <w:fldChar w:fldCharType="end"/>
            </w:r>
          </w:hyperlink>
        </w:p>
        <w:p>
          <w:pPr>
            <w:pStyle w:val="TOC2"/>
            <w:bidi/>
            <w:spacing w:before="120" w:after="60"/>
            <w:ind w:left="360"/>
            <w:rPr/>
          </w:pPr>
          <w:hyperlink w:anchor="_Toc100002">
            <w:r>
              <w:rPr>
                <w:rStyle w:val="Style10"/>
              </w:rPr>
              <w:t>2.1</w:t>
            </w:r>
            <w:r>
              <w:rPr>
                <w:rStyle w:val="Style10"/>
                <w:rtl w:val="true"/>
              </w:rPr>
              <w:t xml:space="preserve"> </w:t>
            </w:r>
            <w:r>
              <w:rPr>
                <w:rStyle w:val="Style10"/>
                <w:rtl w:val="true"/>
              </w:rPr>
              <w:t>تصميم الدراسة</w:t>
            </w:r>
            <w:r>
              <w:rPr>
                <w:rStyle w:val="Style10"/>
                <w:rtl w:val="true"/>
              </w:rPr>
              <w:tab/>
            </w:r>
            <w:r>
              <w:rPr>
                <w:webHidden/>
              </w:rPr>
              <w:fldChar w:fldCharType="begin"/>
            </w:r>
            <w:r>
              <w:rPr>
                <w:webHidden/>
              </w:rPr>
              <w:instrText xml:space="preserve">PAGEREF _Toc100002 \h</w:instrText>
            </w:r>
            <w:r>
              <w:rPr>
                <w:webHidden/>
              </w:rPr>
              <w:fldChar w:fldCharType="separate"/>
            </w:r>
            <w:r>
              <w:rPr>
                <w:rStyle w:val="Style10"/>
              </w:rPr>
              <w:t>4</w:t>
            </w:r>
            <w:r>
              <w:rPr>
                <w:webHidden/>
              </w:rPr>
              <w:fldChar w:fldCharType="end"/>
            </w:r>
          </w:hyperlink>
        </w:p>
        <w:p>
          <w:pPr>
            <w:pStyle w:val="TOC2"/>
            <w:bidi/>
            <w:spacing w:before="120" w:after="60"/>
            <w:ind w:left="360"/>
            <w:rPr/>
          </w:pPr>
          <w:hyperlink w:anchor="_Toc100003">
            <w:r>
              <w:rPr>
                <w:rStyle w:val="Style10"/>
              </w:rPr>
              <w:t>2.2</w:t>
            </w:r>
            <w:r>
              <w:rPr>
                <w:rStyle w:val="Style10"/>
                <w:rtl w:val="true"/>
              </w:rPr>
              <w:t xml:space="preserve"> </w:t>
            </w:r>
            <w:r>
              <w:rPr>
                <w:rStyle w:val="Style10"/>
                <w:rtl w:val="true"/>
              </w:rPr>
              <w:t>المشاركون</w:t>
            </w:r>
            <w:r>
              <w:rPr>
                <w:rStyle w:val="Style10"/>
                <w:rtl w:val="true"/>
              </w:rPr>
              <w:tab/>
            </w:r>
            <w:r>
              <w:rPr>
                <w:webHidden/>
              </w:rPr>
              <w:fldChar w:fldCharType="begin"/>
            </w:r>
            <w:r>
              <w:rPr>
                <w:webHidden/>
              </w:rPr>
              <w:instrText xml:space="preserve">PAGEREF _Toc100003 \h</w:instrText>
            </w:r>
            <w:r>
              <w:rPr>
                <w:webHidden/>
              </w:rPr>
              <w:fldChar w:fldCharType="separate"/>
            </w:r>
            <w:r>
              <w:rPr>
                <w:rStyle w:val="Style10"/>
              </w:rPr>
              <w:t>4</w:t>
            </w:r>
            <w:r>
              <w:rPr>
                <w:webHidden/>
              </w:rPr>
              <w:fldChar w:fldCharType="end"/>
            </w:r>
          </w:hyperlink>
        </w:p>
        <w:p>
          <w:pPr>
            <w:pStyle w:val="TOC2"/>
            <w:bidi/>
            <w:spacing w:before="120" w:after="60"/>
            <w:ind w:left="360"/>
            <w:rPr/>
          </w:pPr>
          <w:hyperlink w:anchor="_Toc100004">
            <w:r>
              <w:rPr>
                <w:rStyle w:val="Style10"/>
              </w:rPr>
              <w:t>2.3</w:t>
            </w:r>
            <w:r>
              <w:rPr>
                <w:rStyle w:val="Style10"/>
                <w:rtl w:val="true"/>
              </w:rPr>
              <w:t xml:space="preserve"> </w:t>
            </w:r>
            <w:r>
              <w:rPr>
                <w:rStyle w:val="Style10"/>
                <w:rtl w:val="true"/>
              </w:rPr>
              <w:t>البرنامج التدريبي المدمج</w:t>
            </w:r>
            <w:r>
              <w:rPr>
                <w:rStyle w:val="Style10"/>
                <w:rtl w:val="true"/>
              </w:rPr>
              <w:tab/>
            </w:r>
            <w:r>
              <w:rPr>
                <w:webHidden/>
              </w:rPr>
              <w:fldChar w:fldCharType="begin"/>
            </w:r>
            <w:r>
              <w:rPr>
                <w:webHidden/>
              </w:rPr>
              <w:instrText xml:space="preserve">PAGEREF _Toc100004 \h</w:instrText>
            </w:r>
            <w:r>
              <w:rPr>
                <w:webHidden/>
              </w:rPr>
              <w:fldChar w:fldCharType="separate"/>
            </w:r>
            <w:r>
              <w:rPr>
                <w:rStyle w:val="Style10"/>
              </w:rPr>
              <w:t>5</w:t>
            </w:r>
            <w:r>
              <w:rPr>
                <w:webHidden/>
              </w:rPr>
              <w:fldChar w:fldCharType="end"/>
            </w:r>
          </w:hyperlink>
        </w:p>
        <w:p>
          <w:pPr>
            <w:pStyle w:val="TOC2"/>
            <w:bidi/>
            <w:spacing w:before="120" w:after="60"/>
            <w:ind w:left="360"/>
            <w:rPr/>
          </w:pPr>
          <w:hyperlink w:anchor="_Toc100005">
            <w:r>
              <w:rPr>
                <w:rStyle w:val="Style10"/>
              </w:rPr>
              <w:t>2.4</w:t>
            </w:r>
            <w:r>
              <w:rPr>
                <w:rStyle w:val="Style10"/>
                <w:rtl w:val="true"/>
              </w:rPr>
              <w:t xml:space="preserve"> </w:t>
            </w:r>
            <w:r>
              <w:rPr>
                <w:rStyle w:val="Style10"/>
                <w:rtl w:val="true"/>
              </w:rPr>
              <w:t>المقاييس والأدوات</w:t>
            </w:r>
            <w:r>
              <w:rPr>
                <w:rStyle w:val="Style10"/>
                <w:rtl w:val="true"/>
              </w:rPr>
              <w:tab/>
            </w:r>
            <w:r>
              <w:rPr>
                <w:webHidden/>
              </w:rPr>
              <w:fldChar w:fldCharType="begin"/>
            </w:r>
            <w:r>
              <w:rPr>
                <w:webHidden/>
              </w:rPr>
              <w:instrText xml:space="preserve">PAGEREF _Toc100005 \h</w:instrText>
            </w:r>
            <w:r>
              <w:rPr>
                <w:webHidden/>
              </w:rPr>
              <w:fldChar w:fldCharType="separate"/>
            </w:r>
            <w:r>
              <w:rPr>
                <w:rStyle w:val="Style10"/>
              </w:rPr>
              <w:t>5</w:t>
            </w:r>
            <w:r>
              <w:rPr>
                <w:webHidden/>
              </w:rPr>
              <w:fldChar w:fldCharType="end"/>
            </w:r>
          </w:hyperlink>
        </w:p>
        <w:p>
          <w:pPr>
            <w:pStyle w:val="TOC2"/>
            <w:bidi/>
            <w:spacing w:before="120" w:after="60"/>
            <w:ind w:left="360"/>
            <w:rPr/>
          </w:pPr>
          <w:hyperlink w:anchor="_Toc100006">
            <w:r>
              <w:rPr>
                <w:rStyle w:val="Style10"/>
              </w:rPr>
              <w:t>2.5</w:t>
            </w:r>
            <w:r>
              <w:rPr>
                <w:rStyle w:val="Style10"/>
                <w:rtl w:val="true"/>
              </w:rPr>
              <w:t xml:space="preserve"> </w:t>
            </w:r>
            <w:r>
              <w:rPr>
                <w:rStyle w:val="Style10"/>
                <w:rtl w:val="true"/>
              </w:rPr>
              <w:t>التحليل الإحصائي</w:t>
            </w:r>
            <w:r>
              <w:rPr>
                <w:rStyle w:val="Style10"/>
                <w:rtl w:val="true"/>
              </w:rPr>
              <w:tab/>
            </w:r>
            <w:r>
              <w:rPr>
                <w:webHidden/>
              </w:rPr>
              <w:fldChar w:fldCharType="begin"/>
            </w:r>
            <w:r>
              <w:rPr>
                <w:webHidden/>
              </w:rPr>
              <w:instrText xml:space="preserve">PAGEREF _Toc100006 \h</w:instrText>
            </w:r>
            <w:r>
              <w:rPr>
                <w:webHidden/>
              </w:rPr>
              <w:fldChar w:fldCharType="separate"/>
            </w:r>
            <w:r>
              <w:rPr>
                <w:rStyle w:val="Style10"/>
              </w:rPr>
              <w:t>5</w:t>
            </w:r>
            <w:r>
              <w:rPr>
                <w:webHidden/>
              </w:rPr>
              <w:fldChar w:fldCharType="end"/>
            </w:r>
          </w:hyperlink>
        </w:p>
        <w:p>
          <w:pPr>
            <w:pStyle w:val="TOC1"/>
            <w:bidi/>
            <w:spacing w:before="120" w:after="60"/>
            <w:rPr/>
          </w:pPr>
          <w:hyperlink w:anchor="_Toc100007">
            <w:r>
              <w:rPr>
                <w:rStyle w:val="Style10"/>
              </w:rPr>
              <w:t>3</w:t>
            </w:r>
            <w:r>
              <w:rPr>
                <w:rStyle w:val="Style10"/>
                <w:rtl w:val="true"/>
              </w:rPr>
              <w:t xml:space="preserve">. </w:t>
            </w:r>
            <w:r>
              <w:rPr>
                <w:rStyle w:val="Style10"/>
                <w:rtl w:val="true"/>
              </w:rPr>
              <w:t>النتائج</w:t>
            </w:r>
            <w:r>
              <w:rPr>
                <w:rStyle w:val="Style10"/>
                <w:rtl w:val="true"/>
              </w:rPr>
              <w:tab/>
            </w:r>
            <w:r>
              <w:rPr>
                <w:webHidden/>
              </w:rPr>
              <w:fldChar w:fldCharType="begin"/>
            </w:r>
            <w:r>
              <w:rPr>
                <w:webHidden/>
              </w:rPr>
              <w:instrText xml:space="preserve">PAGEREF _Toc100007 \h</w:instrText>
            </w:r>
            <w:r>
              <w:rPr>
                <w:webHidden/>
              </w:rPr>
              <w:fldChar w:fldCharType="separate"/>
            </w:r>
            <w:r>
              <w:rPr>
                <w:rStyle w:val="Style10"/>
              </w:rPr>
              <w:t>5</w:t>
            </w:r>
            <w:r>
              <w:rPr>
                <w:webHidden/>
              </w:rPr>
              <w:fldChar w:fldCharType="end"/>
            </w:r>
          </w:hyperlink>
        </w:p>
        <w:p>
          <w:pPr>
            <w:pStyle w:val="TOC1"/>
            <w:bidi/>
            <w:spacing w:before="120" w:after="60"/>
            <w:rPr/>
          </w:pPr>
          <w:hyperlink w:anchor="_Toc100008">
            <w:r>
              <w:rPr>
                <w:rStyle w:val="Style10"/>
              </w:rPr>
              <w:t>4</w:t>
            </w:r>
            <w:r>
              <w:rPr>
                <w:rStyle w:val="Style10"/>
                <w:rtl w:val="true"/>
              </w:rPr>
              <w:t xml:space="preserve">. </w:t>
            </w:r>
            <w:r>
              <w:rPr>
                <w:rStyle w:val="Style10"/>
                <w:rtl w:val="true"/>
              </w:rPr>
              <w:t>المناقشة</w:t>
            </w:r>
            <w:r>
              <w:rPr>
                <w:rStyle w:val="Style10"/>
                <w:rtl w:val="true"/>
              </w:rPr>
              <w:tab/>
            </w:r>
            <w:r>
              <w:rPr>
                <w:webHidden/>
              </w:rPr>
              <w:fldChar w:fldCharType="begin"/>
            </w:r>
            <w:r>
              <w:rPr>
                <w:webHidden/>
              </w:rPr>
              <w:instrText xml:space="preserve">PAGEREF _Toc100008 \h</w:instrText>
            </w:r>
            <w:r>
              <w:rPr>
                <w:webHidden/>
              </w:rPr>
              <w:fldChar w:fldCharType="separate"/>
            </w:r>
            <w:r>
              <w:rPr>
                <w:rStyle w:val="Style10"/>
              </w:rPr>
              <w:t>6</w:t>
            </w:r>
            <w:r>
              <w:rPr>
                <w:webHidden/>
              </w:rPr>
              <w:fldChar w:fldCharType="end"/>
            </w:r>
          </w:hyperlink>
        </w:p>
        <w:p>
          <w:pPr>
            <w:pStyle w:val="TOC1"/>
            <w:bidi/>
            <w:spacing w:before="120" w:after="60"/>
            <w:rPr/>
          </w:pPr>
          <w:hyperlink w:anchor="_Toc100009">
            <w:r>
              <w:rPr>
                <w:rStyle w:val="Style10"/>
              </w:rPr>
              <w:t>5</w:t>
            </w:r>
            <w:r>
              <w:rPr>
                <w:rStyle w:val="Style10"/>
                <w:rtl w:val="true"/>
              </w:rPr>
              <w:t xml:space="preserve">. </w:t>
            </w:r>
            <w:r>
              <w:rPr>
                <w:rStyle w:val="Style10"/>
                <w:rtl w:val="true"/>
              </w:rPr>
              <w:t>الخاتمة</w:t>
            </w:r>
            <w:r>
              <w:rPr>
                <w:rStyle w:val="Style10"/>
                <w:rtl w:val="true"/>
              </w:rPr>
              <w:tab/>
            </w:r>
            <w:r>
              <w:rPr>
                <w:webHidden/>
              </w:rPr>
              <w:fldChar w:fldCharType="begin"/>
            </w:r>
            <w:r>
              <w:rPr>
                <w:webHidden/>
              </w:rPr>
              <w:instrText xml:space="preserve">PAGEREF _Toc100009 \h</w:instrText>
            </w:r>
            <w:r>
              <w:rPr>
                <w:webHidden/>
              </w:rPr>
              <w:fldChar w:fldCharType="separate"/>
            </w:r>
            <w:r>
              <w:rPr>
                <w:rStyle w:val="Style10"/>
              </w:rPr>
              <w:t>7</w:t>
            </w:r>
            <w:r>
              <w:rPr>
                <w:webHidden/>
              </w:rPr>
              <w:fldChar w:fldCharType="end"/>
            </w:r>
          </w:hyperlink>
        </w:p>
        <w:p>
          <w:pPr>
            <w:pStyle w:val="TOC1"/>
            <w:bidi/>
            <w:spacing w:before="120" w:after="60"/>
            <w:rPr/>
          </w:pPr>
          <w:hyperlink w:anchor="_Toc100010">
            <w:r>
              <w:rPr>
                <w:rStyle w:val="Style10"/>
                <w:rtl w:val="true"/>
              </w:rPr>
              <w:t>المراجع</w:t>
            </w:r>
            <w:r>
              <w:rPr>
                <w:rStyle w:val="Style10"/>
                <w:rtl w:val="true"/>
              </w:rPr>
              <w:tab/>
            </w:r>
            <w:r>
              <w:rPr>
                <w:webHidden/>
              </w:rPr>
              <w:fldChar w:fldCharType="begin"/>
            </w:r>
            <w:r>
              <w:rPr>
                <w:webHidden/>
              </w:rPr>
              <w:instrText xml:space="preserve">PAGEREF _Toc100010 \h</w:instrText>
            </w:r>
            <w:r>
              <w:rPr>
                <w:webHidden/>
              </w:rPr>
              <w:fldChar w:fldCharType="separate"/>
            </w:r>
            <w:r>
              <w:rPr>
                <w:rStyle w:val="Style10"/>
              </w:rPr>
              <w:t>7</w:t>
            </w:r>
            <w:r>
              <w:rPr>
                <w:webHidden/>
              </w:rPr>
              <w:fldChar w:fldCharType="end"/>
            </w:r>
          </w:hyperlink>
        </w:p>
        <w:p>
          <w:pPr>
            <w:pStyle w:val="TOC2"/>
            <w:bidi/>
            <w:spacing w:before="120" w:after="60"/>
            <w:ind w:left="360"/>
            <w:rPr/>
          </w:pPr>
          <w:hyperlink w:anchor="_Toc100011">
            <w:r>
              <w:rPr>
                <w:rStyle w:val="Style10"/>
                <w:rtl w:val="true"/>
              </w:rPr>
              <w:t>أولًا</w:t>
            </w:r>
            <w:r>
              <w:rPr>
                <w:rStyle w:val="Style10"/>
                <w:rtl w:val="true"/>
              </w:rPr>
              <w:t xml:space="preserve">: </w:t>
            </w:r>
            <w:r>
              <w:rPr>
                <w:rStyle w:val="Style10"/>
                <w:rtl w:val="true"/>
              </w:rPr>
              <w:t>المراجع العربية</w:t>
            </w:r>
            <w:r>
              <w:rPr>
                <w:rStyle w:val="Style10"/>
                <w:rtl w:val="true"/>
              </w:rPr>
              <w:tab/>
            </w:r>
            <w:r>
              <w:rPr>
                <w:webHidden/>
              </w:rPr>
              <w:fldChar w:fldCharType="begin"/>
            </w:r>
            <w:r>
              <w:rPr>
                <w:webHidden/>
              </w:rPr>
              <w:instrText xml:space="preserve">PAGEREF _Toc100011 \h</w:instrText>
            </w:r>
            <w:r>
              <w:rPr>
                <w:webHidden/>
              </w:rPr>
              <w:fldChar w:fldCharType="separate"/>
            </w:r>
            <w:r>
              <w:rPr>
                <w:rStyle w:val="Style10"/>
              </w:rPr>
              <w:t>7</w:t>
            </w:r>
            <w:r>
              <w:rPr>
                <w:webHidden/>
              </w:rPr>
              <w:fldChar w:fldCharType="end"/>
            </w:r>
          </w:hyperlink>
        </w:p>
        <w:p>
          <w:pPr>
            <w:pStyle w:val="TOC2"/>
            <w:bidi/>
            <w:spacing w:before="120" w:after="60"/>
            <w:ind w:left="360"/>
            <w:rPr/>
          </w:pPr>
          <w:hyperlink w:anchor="_Toc100012">
            <w:r>
              <w:rPr>
                <w:rStyle w:val="Style10"/>
                <w:rtl w:val="true"/>
              </w:rPr>
              <w:t>ثانيًا</w:t>
            </w:r>
            <w:r>
              <w:rPr>
                <w:rStyle w:val="Style10"/>
                <w:rtl w:val="true"/>
              </w:rPr>
              <w:t xml:space="preserve">: </w:t>
            </w:r>
            <w:r>
              <w:rPr>
                <w:rStyle w:val="Style10"/>
                <w:rtl w:val="true"/>
              </w:rPr>
              <w:t>المراجع الأجنبية</w:t>
            </w:r>
            <w:r>
              <w:rPr>
                <w:rStyle w:val="Style10"/>
                <w:rtl w:val="true"/>
              </w:rPr>
              <w:tab/>
            </w:r>
            <w:r>
              <w:rPr>
                <w:webHidden/>
              </w:rPr>
              <w:fldChar w:fldCharType="begin"/>
            </w:r>
            <w:r>
              <w:rPr>
                <w:webHidden/>
              </w:rPr>
              <w:instrText xml:space="preserve">PAGEREF _Toc100012 \h</w:instrText>
            </w:r>
            <w:r>
              <w:rPr>
                <w:webHidden/>
              </w:rPr>
              <w:fldChar w:fldCharType="separate"/>
            </w:r>
            <w:r>
              <w:rPr>
                <w:rStyle w:val="Style10"/>
              </w:rPr>
              <w:t>7</w:t>
            </w:r>
            <w:r>
              <w:rPr>
                <w:webHidden/>
              </w:rPr>
              <w:fldChar w:fldCharType="end"/>
            </w:r>
          </w:hyperlink>
          <w:r>
            <w:rPr>
              <w:rtl w:val="true"/>
              <w:rStyle w:val="Style10"/>
            </w:rPr>
            <w:fldChar w:fldCharType="end"/>
          </w:r>
        </w:p>
      </w:sdtContent>
    </w:sdt>
    <w:p>
      <w:pPr>
        <w:pStyle w:val="Normal"/>
        <w:jc w:val="right"/>
        <w:rPr/>
      </w:pPr>
      <w:r>
        <w:rPr/>
      </w:r>
    </w:p>
    <w:p>
      <w:pPr>
        <w:sectPr>
          <w:headerReference w:type="default" r:id="rId2"/>
          <w:footerReference w:type="default" r:id="rId3"/>
          <w:type w:val="nextPage"/>
          <w:pgSz w:w="11906" w:h="16838"/>
          <w:pgMar w:left="1701" w:right="1417" w:gutter="0" w:header="850" w:top="1440" w:footer="992" w:bottom="1440"/>
          <w:pgNumType w:start="1" w:fmt="upperRoman"/>
          <w:formProt w:val="false"/>
          <w:textDirection w:val="lrTb"/>
          <w:bidi/>
          <w:docGrid w:type="default" w:linePitch="360" w:charSpace="4294950911"/>
        </w:sectPr>
        <w:pStyle w:val="Normal"/>
        <w:bidi w:val="1"/>
        <w:spacing w:lineRule="atLeast" w:line="300" w:before="200" w:after="0"/>
        <w:jc w:val="left"/>
        <w:rPr/>
      </w:pPr>
      <w:r>
        <w:rPr>
          <w:rFonts w:ascii="Times New Roman" w:hAnsi="Times New Roman"/>
          <w:b w:val="false"/>
          <w:b w:val="false"/>
          <w:bCs w:val="false"/>
          <w:i/>
          <w:i/>
          <w:iCs/>
          <w:color w:val="888888"/>
          <w:sz w:val="18"/>
          <w:sz w:val="18"/>
          <w:szCs w:val="18"/>
          <w:rtl w:val="true"/>
        </w:rPr>
        <w:t>ملاحظة</w:t>
      </w:r>
      <w:r>
        <w:rPr>
          <w:rFonts w:cs="Traditional Arabic"/>
          <w:b w:val="false"/>
          <w:bCs w:val="false"/>
          <w:i/>
          <w:iCs/>
          <w:color w:val="888888"/>
          <w:sz w:val="18"/>
          <w:szCs w:val="18"/>
          <w:rtl w:val="true"/>
        </w:rPr>
        <w:t xml:space="preserve">: </w:t>
      </w:r>
      <w:r>
        <w:rPr>
          <w:rFonts w:ascii="Times New Roman" w:hAnsi="Times New Roman"/>
          <w:b w:val="false"/>
          <w:b w:val="false"/>
          <w:bCs w:val="false"/>
          <w:i/>
          <w:i/>
          <w:iCs/>
          <w:color w:val="888888"/>
          <w:sz w:val="18"/>
          <w:sz w:val="18"/>
          <w:szCs w:val="18"/>
          <w:rtl w:val="true"/>
        </w:rPr>
        <w:t>هذا الجدول مولد آليًا برموز الحقول، وبعد أي تعديل انقر بزر الفأرة الأيمن على الجدول واختر تحديث الحقل لضبط أرقام الصفحات</w:t>
      </w:r>
      <w:r>
        <w:rPr>
          <w:rFonts w:cs="Traditional Arabic"/>
          <w:b w:val="false"/>
          <w:bCs w:val="false"/>
          <w:i/>
          <w:iCs/>
          <w:color w:val="888888"/>
          <w:sz w:val="18"/>
          <w:szCs w:val="18"/>
          <w:rtl w:val="true"/>
        </w:rPr>
        <w:t>.</w:t>
      </w:r>
    </w:p>
    <w:p>
      <w:pPr>
        <w:pStyle w:val="Heading1"/>
        <w:bidi w:val="1"/>
        <w:spacing w:lineRule="atLeast" w:line="460" w:before="0" w:after="300"/>
        <w:jc w:val="center"/>
        <w:rPr>
          <w:b/>
          <w:bCs/>
          <w:sz w:val="48"/>
          <w:szCs w:val="48"/>
        </w:rPr>
      </w:pPr>
      <w:r>
        <w:rPr>
          <w:rFonts w:cs="Traditional Arabic" w:ascii="Times New Roman" w:hAnsi="Times New Roman"/>
          <w:b/>
          <w:bCs/>
          <w:i w:val="false"/>
          <w:iCs w:val="false"/>
          <w:color w:val="000000"/>
          <w:sz w:val="48"/>
          <w:szCs w:val="48"/>
        </w:rPr>
        <w:t>1</w:t>
      </w:r>
      <w:r>
        <w:rPr>
          <w:rFonts w:cs="Traditional Arabic" w:ascii="Times New Roman" w:hAnsi="Times New Roman"/>
          <w:b/>
          <w:bCs/>
          <w:i w:val="false"/>
          <w:iCs w:val="false"/>
          <w:color w:val="000000"/>
          <w:sz w:val="48"/>
          <w:szCs w:val="48"/>
          <w:rtl w:val="true"/>
        </w:rPr>
        <w:t xml:space="preserve">. </w:t>
      </w:r>
      <w:r>
        <w:rPr>
          <w:rFonts w:ascii="Times New Roman" w:hAnsi="Times New Roman" w:cs="Traditional Arabic"/>
          <w:b/>
          <w:b/>
          <w:bCs/>
          <w:i w:val="false"/>
          <w:i w:val="false"/>
          <w:iCs w:val="false"/>
          <w:color w:val="000000"/>
          <w:sz w:val="48"/>
          <w:sz w:val="48"/>
          <w:szCs w:val="48"/>
          <w:rtl w:val="true"/>
        </w:rPr>
        <w:t xml:space="preserve">المقدمة  </w:t>
      </w:r>
    </w:p>
    <w:p>
      <w:pPr>
        <w:pStyle w:val="Heading1"/>
        <w:bidi w:val="1"/>
        <w:spacing w:lineRule="atLeast" w:line="460" w:before="0" w:after="300"/>
        <w:jc w:val="both"/>
        <w:rPr/>
      </w:pPr>
      <w:r>
        <w:rPr>
          <w:rFonts w:ascii="Times New Roman" w:hAnsi="Times New Roman" w:cs="Traditional Arabic"/>
          <w:b w:val="false"/>
          <w:b w:val="false"/>
          <w:bCs w:val="false"/>
          <w:i w:val="false"/>
          <w:i w:val="false"/>
          <w:iCs w:val="false"/>
          <w:color w:val="000000"/>
          <w:sz w:val="32"/>
          <w:sz w:val="32"/>
          <w:szCs w:val="32"/>
          <w:rtl w:val="true"/>
        </w:rPr>
        <w:t>يحتل سكري النمط الثاني المرتبة الأولى بين الأمراض المزمنة غير السارية من حيث الزيادة السنوية وحجم العبء الصحي والاقتصادي</w:t>
      </w:r>
      <w:r>
        <w:rPr>
          <w:rFonts w:cs="Traditional Arabic" w:ascii="Times New Roman" w:hAnsi="Times New Roman"/>
          <w:b w:val="false"/>
          <w:bCs w:val="false"/>
          <w:i w:val="false"/>
          <w:iCs w:val="false"/>
          <w:color w:val="000000"/>
          <w:sz w:val="32"/>
          <w:szCs w:val="32"/>
          <w:rtl w:val="true"/>
        </w:rPr>
        <w:t xml:space="preserve">. </w:t>
      </w:r>
      <w:r>
        <w:rPr>
          <w:rFonts w:ascii="Times New Roman" w:hAnsi="Times New Roman" w:cs="Traditional Arabic"/>
          <w:b w:val="false"/>
          <w:b w:val="false"/>
          <w:bCs w:val="false"/>
          <w:i w:val="false"/>
          <w:i w:val="false"/>
          <w:iCs w:val="false"/>
          <w:color w:val="000000"/>
          <w:sz w:val="32"/>
          <w:sz w:val="32"/>
          <w:szCs w:val="32"/>
          <w:rtl w:val="true"/>
        </w:rPr>
        <w:t>فهو يمثل النمط الأكثر شيوعًا من إجمالي حالات السكري في العالم، وتمتد مضاعفاته من القلب والشرايين إلى الكلى والشبكية والأعصاب الطرفية</w:t>
      </w:r>
      <w:r>
        <w:rPr>
          <w:rFonts w:cs="Traditional Arabic" w:ascii="Times New Roman" w:hAnsi="Times New Roman"/>
          <w:b w:val="false"/>
          <w:bCs w:val="false"/>
          <w:i w:val="false"/>
          <w:iCs w:val="false"/>
          <w:color w:val="000000"/>
          <w:sz w:val="32"/>
          <w:szCs w:val="32"/>
          <w:rtl w:val="true"/>
        </w:rPr>
        <w:t xml:space="preserve">. </w:t>
      </w:r>
      <w:r>
        <w:rPr>
          <w:rFonts w:ascii="Times New Roman" w:hAnsi="Times New Roman" w:cs="Traditional Arabic"/>
          <w:b w:val="false"/>
          <w:b w:val="false"/>
          <w:bCs w:val="false"/>
          <w:i w:val="false"/>
          <w:i w:val="false"/>
          <w:iCs w:val="false"/>
          <w:color w:val="000000"/>
          <w:sz w:val="32"/>
          <w:sz w:val="32"/>
          <w:szCs w:val="32"/>
          <w:rtl w:val="true"/>
        </w:rPr>
        <w:t xml:space="preserve">وقد أكدت المراجعات العالمية أن النشاط البدني يشكل ركيزة أساسية للوقاية من المرض والتعامل معه، منذ أن أثبتت دراسة البرنامج الوقائي الأمريكي أن تدخلات نمط الحياة تخفض معدل الإصابة بنسبة </w:t>
      </w:r>
      <w:r>
        <w:rPr>
          <w:rFonts w:cs="Traditional Arabic" w:ascii="Times New Roman" w:hAnsi="Times New Roman"/>
          <w:b w:val="false"/>
          <w:bCs w:val="false"/>
          <w:i w:val="false"/>
          <w:iCs w:val="false"/>
          <w:color w:val="000000"/>
          <w:sz w:val="32"/>
          <w:szCs w:val="32"/>
        </w:rPr>
        <w:t>58</w:t>
      </w:r>
      <w:r>
        <w:rPr>
          <w:rFonts w:cs="Traditional Arabic" w:ascii="Times New Roman" w:hAnsi="Times New Roman"/>
          <w:b w:val="false"/>
          <w:bCs w:val="false"/>
          <w:i w:val="false"/>
          <w:iCs w:val="false"/>
          <w:color w:val="000000"/>
          <w:sz w:val="32"/>
          <w:szCs w:val="32"/>
          <w:rtl w:val="true"/>
        </w:rPr>
        <w:t xml:space="preserve"> </w:t>
      </w:r>
      <w:r>
        <w:rPr>
          <w:rFonts w:ascii="Times New Roman" w:hAnsi="Times New Roman" w:cs="Traditional Arabic"/>
          <w:b w:val="false"/>
          <w:b w:val="false"/>
          <w:bCs w:val="false"/>
          <w:i w:val="false"/>
          <w:i w:val="false"/>
          <w:iCs w:val="false"/>
          <w:color w:val="000000"/>
          <w:sz w:val="32"/>
          <w:sz w:val="32"/>
          <w:szCs w:val="32"/>
          <w:rtl w:val="true"/>
        </w:rPr>
        <w:t xml:space="preserve">في المائة </w:t>
      </w:r>
      <w:r>
        <w:rPr>
          <w:rFonts w:cs="Traditional Arabic" w:ascii="Times New Roman" w:hAnsi="Times New Roman"/>
          <w:b w:val="false"/>
          <w:bCs w:val="false"/>
          <w:i w:val="false"/>
          <w:iCs w:val="false"/>
          <w:color w:val="000000"/>
          <w:sz w:val="32"/>
          <w:szCs w:val="32"/>
          <w:rtl w:val="true"/>
        </w:rPr>
        <w:t>(</w:t>
      </w:r>
      <w:r>
        <w:rPr>
          <w:rFonts w:cs="Traditional Arabic" w:ascii="Times New Roman" w:hAnsi="Times New Roman"/>
          <w:b w:val="false"/>
          <w:bCs w:val="false"/>
          <w:i w:val="false"/>
          <w:iCs w:val="false"/>
          <w:color w:val="000000"/>
          <w:sz w:val="32"/>
          <w:szCs w:val="32"/>
        </w:rPr>
        <w:t>Diabetes Prevention Program Research Group, 2002</w:t>
      </w:r>
      <w:r>
        <w:rPr>
          <w:rFonts w:cs="Traditional Arabic" w:ascii="Times New Roman" w:hAnsi="Times New Roman"/>
          <w:b w:val="false"/>
          <w:bCs w:val="false"/>
          <w:i w:val="false"/>
          <w:iCs w:val="false"/>
          <w:color w:val="000000"/>
          <w:sz w:val="32"/>
          <w:szCs w:val="32"/>
          <w:rtl w:val="true"/>
        </w:rPr>
        <w:t>)</w:t>
      </w:r>
      <w:r>
        <w:rPr>
          <w:rFonts w:ascii="Times New Roman" w:hAnsi="Times New Roman" w:cs="Traditional Arabic"/>
          <w:b w:val="false"/>
          <w:b w:val="false"/>
          <w:bCs w:val="false"/>
          <w:i w:val="false"/>
          <w:i w:val="false"/>
          <w:iCs w:val="false"/>
          <w:color w:val="000000"/>
          <w:sz w:val="32"/>
          <w:sz w:val="32"/>
          <w:szCs w:val="32"/>
          <w:rtl w:val="true"/>
        </w:rPr>
        <w:t xml:space="preserve">، ثم جاءت توجيهات الجمعية الأمريكية للسكري لتؤكد دمج التمارين في الخطة العلاجية المعتادة </w:t>
      </w:r>
      <w:r>
        <w:rPr>
          <w:rFonts w:cs="Traditional Arabic" w:ascii="Times New Roman" w:hAnsi="Times New Roman"/>
          <w:b w:val="false"/>
          <w:bCs w:val="false"/>
          <w:i w:val="false"/>
          <w:iCs w:val="false"/>
          <w:color w:val="000000"/>
          <w:sz w:val="32"/>
          <w:szCs w:val="32"/>
          <w:rtl w:val="true"/>
        </w:rPr>
        <w:t>(</w:t>
      </w:r>
      <w:r>
        <w:rPr>
          <w:rFonts w:cs="Traditional Arabic" w:ascii="Times New Roman" w:hAnsi="Times New Roman"/>
          <w:b w:val="false"/>
          <w:bCs w:val="false"/>
          <w:i w:val="false"/>
          <w:iCs w:val="false"/>
          <w:color w:val="000000"/>
          <w:sz w:val="32"/>
          <w:szCs w:val="32"/>
        </w:rPr>
        <w:t>Kanaley et al., 2016</w:t>
      </w:r>
      <w:r>
        <w:rPr>
          <w:rFonts w:cs="Traditional Arabic" w:ascii="Times New Roman" w:hAnsi="Times New Roman"/>
          <w:b w:val="false"/>
          <w:bCs w:val="false"/>
          <w:i w:val="false"/>
          <w:iCs w:val="false"/>
          <w:color w:val="000000"/>
          <w:sz w:val="32"/>
          <w:szCs w:val="32"/>
          <w:rtl w:val="true"/>
        </w:rPr>
        <w:t>).</w:t>
      </w:r>
    </w:p>
    <w:p>
      <w:pPr>
        <w:pStyle w:val="Heading1"/>
        <w:bidi w:val="1"/>
        <w:spacing w:lineRule="atLeast" w:line="460" w:before="0" w:after="300"/>
        <w:jc w:val="both"/>
        <w:rPr>
          <w:rFonts w:ascii="Times New Roman" w:hAnsi="Times New Roman" w:cs="Traditional Arabic"/>
          <w:b w:val="false"/>
          <w:bCs w:val="false"/>
          <w:i w:val="false"/>
          <w:i w:val="false"/>
          <w:iCs w:val="false"/>
          <w:color w:val="000000"/>
          <w:sz w:val="32"/>
          <w:szCs w:val="32"/>
        </w:rPr>
      </w:pPr>
      <w:r>
        <w:rPr>
          <w:rtl w:val="true"/>
        </w:rPr>
      </w:r>
    </w:p>
    <w:p>
      <w:pPr>
        <w:pStyle w:val="Heading1"/>
        <w:bidi w:val="1"/>
        <w:spacing w:lineRule="atLeast" w:line="460" w:before="0" w:after="300"/>
        <w:jc w:val="both"/>
        <w:rPr/>
      </w:pPr>
      <w:r>
        <w:rPr>
          <w:rFonts w:ascii="Times New Roman" w:hAnsi="Times New Roman" w:cs="Traditional Arabic"/>
          <w:b w:val="false"/>
          <w:b w:val="false"/>
          <w:bCs w:val="false"/>
          <w:i w:val="false"/>
          <w:i w:val="false"/>
          <w:iCs w:val="false"/>
          <w:color w:val="000000"/>
          <w:sz w:val="32"/>
          <w:sz w:val="32"/>
          <w:szCs w:val="32"/>
          <w:rtl w:val="true"/>
        </w:rPr>
        <w:t xml:space="preserve">وتشير الأدبيات الحديثة إلى أن التدخل الأكثر فاعلية لا يعتمد على نوع واحد من التمارين، بل على الجمع المنظم بين الجهد الهوائي، الذي يستهلك الجلوكوز عبر مسار مستقل عن الإنسولين، والجهد العضلي المقاوم، الذي يزيد الكتلة العضلية المستهلكة للسكر ويحسن إشارات الإنسولين داخل الخلية من خلال رفع محتوى ناقل </w:t>
      </w:r>
      <w:r>
        <w:rPr>
          <w:rFonts w:cs="Traditional Arabic" w:ascii="Times New Roman" w:hAnsi="Times New Roman"/>
          <w:b w:val="false"/>
          <w:bCs w:val="false"/>
          <w:i w:val="false"/>
          <w:iCs w:val="false"/>
          <w:color w:val="000000"/>
          <w:sz w:val="32"/>
          <w:szCs w:val="32"/>
        </w:rPr>
        <w:t>GLUT4 (Holten et al., 2004)</w:t>
      </w:r>
      <w:r>
        <w:rPr>
          <w:rFonts w:cs="Traditional Arabic" w:ascii="Times New Roman" w:hAnsi="Times New Roman"/>
          <w:b w:val="false"/>
          <w:bCs w:val="false"/>
          <w:i w:val="false"/>
          <w:iCs w:val="false"/>
          <w:color w:val="000000"/>
          <w:sz w:val="32"/>
          <w:szCs w:val="32"/>
          <w:rtl w:val="true"/>
        </w:rPr>
        <w:t xml:space="preserve">. </w:t>
      </w:r>
      <w:r>
        <w:rPr>
          <w:rFonts w:ascii="Times New Roman" w:hAnsi="Times New Roman" w:cs="Traditional Arabic"/>
          <w:b w:val="false"/>
          <w:b w:val="false"/>
          <w:bCs w:val="false"/>
          <w:i w:val="false"/>
          <w:i w:val="false"/>
          <w:iCs w:val="false"/>
          <w:color w:val="000000"/>
          <w:sz w:val="32"/>
          <w:sz w:val="32"/>
          <w:szCs w:val="32"/>
          <w:rtl w:val="true"/>
        </w:rPr>
        <w:t xml:space="preserve">كما أظهرت المراجعة الشاملة المنشورة في دورية الجمعية الطبية الأمريكية أن أكبر انخفاض في السكر التراكمي يتحقق عند الجمع بين النمطين في الحصة التدريبية نفسها، مقارنة بتوزيعهما على حصص منفصلة </w:t>
      </w:r>
      <w:r>
        <w:rPr>
          <w:rFonts w:cs="Traditional Arabic" w:ascii="Times New Roman" w:hAnsi="Times New Roman"/>
          <w:b w:val="false"/>
          <w:bCs w:val="false"/>
          <w:i w:val="false"/>
          <w:iCs w:val="false"/>
          <w:color w:val="000000"/>
          <w:sz w:val="32"/>
          <w:szCs w:val="32"/>
          <w:rtl w:val="true"/>
        </w:rPr>
        <w:t>(</w:t>
      </w:r>
      <w:r>
        <w:rPr>
          <w:rFonts w:cs="Traditional Arabic" w:ascii="Times New Roman" w:hAnsi="Times New Roman"/>
          <w:b w:val="false"/>
          <w:bCs w:val="false"/>
          <w:i w:val="false"/>
          <w:iCs w:val="false"/>
          <w:color w:val="000000"/>
          <w:sz w:val="32"/>
          <w:szCs w:val="32"/>
        </w:rPr>
        <w:t>Umpierre et al., 2011</w:t>
      </w:r>
      <w:r>
        <w:rPr>
          <w:rFonts w:cs="Traditional Arabic" w:ascii="Times New Roman" w:hAnsi="Times New Roman"/>
          <w:b w:val="false"/>
          <w:bCs w:val="false"/>
          <w:i w:val="false"/>
          <w:iCs w:val="false"/>
          <w:color w:val="000000"/>
          <w:sz w:val="32"/>
          <w:szCs w:val="32"/>
          <w:rtl w:val="true"/>
        </w:rPr>
        <w:t xml:space="preserve">). </w:t>
      </w:r>
      <w:r>
        <w:rPr>
          <w:rFonts w:ascii="Times New Roman" w:hAnsi="Times New Roman" w:cs="Traditional Arabic"/>
          <w:b w:val="false"/>
          <w:b w:val="false"/>
          <w:bCs w:val="false"/>
          <w:i w:val="false"/>
          <w:i w:val="false"/>
          <w:iCs w:val="false"/>
          <w:color w:val="000000"/>
          <w:sz w:val="32"/>
          <w:sz w:val="32"/>
          <w:szCs w:val="32"/>
          <w:rtl w:val="true"/>
        </w:rPr>
        <w:t>وانطلاقًا من ذلك، انتقلت الدراسة من الوصف إلى الاختبار الميداني لبرنامج مدمج ومتكامل على عينة عربية محلية، مع اعتماد منظومة شاملة لقياس المؤشرات الحيوية والجسمية، بما يتيح تقويم الأثر من جوانب متعددة</w:t>
      </w:r>
      <w:r>
        <w:rPr>
          <w:rFonts w:cs="Traditional Arabic" w:ascii="Times New Roman" w:hAnsi="Times New Roman"/>
          <w:b w:val="false"/>
          <w:bCs w:val="false"/>
          <w:i w:val="false"/>
          <w:iCs w:val="false"/>
          <w:color w:val="000000"/>
          <w:sz w:val="32"/>
          <w:szCs w:val="32"/>
          <w:rtl w:val="true"/>
        </w:rPr>
        <w:t>.</w:t>
      </w:r>
    </w:p>
    <w:p>
      <w:pPr>
        <w:pStyle w:val="Heading1"/>
        <w:bidi w:val="1"/>
        <w:spacing w:lineRule="atLeast" w:line="460" w:before="0" w:after="300"/>
        <w:jc w:val="both"/>
        <w:rPr>
          <w:rFonts w:ascii="Times New Roman" w:hAnsi="Times New Roman" w:cs="Traditional Arabic"/>
          <w:b w:val="false"/>
          <w:bCs w:val="false"/>
          <w:i w:val="false"/>
          <w:i w:val="false"/>
          <w:iCs w:val="false"/>
          <w:color w:val="000000"/>
          <w:sz w:val="32"/>
          <w:szCs w:val="32"/>
        </w:rPr>
      </w:pPr>
      <w:r>
        <w:rPr>
          <w:rtl w:val="true"/>
        </w:rPr>
      </w:r>
    </w:p>
    <w:p>
      <w:pPr>
        <w:pStyle w:val="Heading1"/>
        <w:bidi w:val="1"/>
        <w:spacing w:lineRule="atLeast" w:line="460" w:before="480" w:after="300"/>
        <w:jc w:val="center"/>
        <w:rPr/>
      </w:pPr>
      <w:bookmarkStart w:id="0" w:name="_Toc100001"/>
      <w:r>
        <w:rPr>
          <w:rFonts w:cs="Simplified Arabic" w:ascii="Times New Roman" w:hAnsi="Times New Roman"/>
          <w:b/>
          <w:bCs/>
          <w:i w:val="false"/>
          <w:iCs w:val="false"/>
          <w:color w:val="000000"/>
          <w:sz w:val="36"/>
          <w:szCs w:val="36"/>
        </w:rPr>
        <w:t>2</w:t>
      </w:r>
      <w:r>
        <w:rPr>
          <w:rFonts w:cs="Simplified Arabic" w:ascii="Times New Roman" w:hAnsi="Times New Roman"/>
          <w:b/>
          <w:bCs/>
          <w:i w:val="false"/>
          <w:iCs w:val="false"/>
          <w:color w:val="000000"/>
          <w:sz w:val="36"/>
          <w:szCs w:val="36"/>
          <w:rtl w:val="true"/>
        </w:rPr>
        <w:t xml:space="preserve">. </w:t>
      </w:r>
      <w:r>
        <w:rPr>
          <w:rFonts w:ascii="Times New Roman" w:hAnsi="Times New Roman"/>
          <w:b/>
          <w:b/>
          <w:bCs/>
          <w:i w:val="false"/>
          <w:i w:val="false"/>
          <w:iCs w:val="false"/>
          <w:color w:val="000000"/>
          <w:sz w:val="36"/>
          <w:sz w:val="36"/>
          <w:szCs w:val="36"/>
          <w:rtl w:val="true"/>
        </w:rPr>
        <w:t>الطرائق والمناهج</w:t>
      </w:r>
      <w:bookmarkEnd w:id="0"/>
    </w:p>
    <w:p>
      <w:pPr>
        <w:pStyle w:val="Heading2"/>
        <w:bidi w:val="1"/>
        <w:spacing w:lineRule="atLeast" w:line="420" w:before="360" w:after="200"/>
        <w:jc w:val="center"/>
        <w:rPr/>
      </w:pPr>
      <w:bookmarkStart w:id="1" w:name="_Toc100002"/>
      <w:r>
        <w:rPr>
          <w:rFonts w:cs="Simplified Arabic" w:ascii="Times New Roman" w:hAnsi="Times New Roman"/>
          <w:b/>
          <w:bCs/>
          <w:i w:val="false"/>
          <w:iCs w:val="false"/>
          <w:color w:val="000000"/>
          <w:sz w:val="32"/>
          <w:szCs w:val="32"/>
        </w:rPr>
        <w:t>2.1</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تصميم الدراسة</w:t>
      </w:r>
      <w:bookmarkEnd w:id="1"/>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اعتمدت الدراسة تصميمًا شبه تجريبي بمجموعتين وقياسين قبلي وبعدي؛ إذ تلقت المجموعة التجريبية البرنامج التدريبي المدمج، فيما واصلت المجموعة الضابطة نمط حياتها المعتاد من دون تدخل</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واستند التصميم إلى ثلاثة ضوابط منهجية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التأكد مسبقًا من تكافؤ المجموعتين في جميع المتغيرات التابعة، وتثبيت جرعات الأدوية لجميع المشاركين طوال التجربة بموجب تقرير طبي موثق، وفقًا لما اشترطته الأدبيات العلمية لعزل أثر التدخل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Colberg et al., 2010</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 إلى جانب إبقاء القائم بالقياس والمخبرين غير مطّلعين على توزيع المشاركين بين المجموعتين للحد من تحيز القياس</w:t>
      </w:r>
      <w:r>
        <w:rPr>
          <w:rFonts w:cs="Traditional Arabic"/>
          <w:b w:val="false"/>
          <w:bCs w:val="false"/>
          <w:i w:val="false"/>
          <w:iCs w:val="false"/>
          <w:color w:val="000000"/>
          <w:sz w:val="32"/>
          <w:szCs w:val="32"/>
          <w:rtl w:val="true"/>
        </w:rPr>
        <w:t>.</w:t>
      </w:r>
    </w:p>
    <w:p>
      <w:pPr>
        <w:pStyle w:val="Heading2"/>
        <w:bidi w:val="1"/>
        <w:spacing w:lineRule="atLeast" w:line="420" w:before="360" w:after="200"/>
        <w:jc w:val="center"/>
        <w:rPr/>
      </w:pPr>
      <w:bookmarkStart w:id="2" w:name="_Toc100003"/>
      <w:r>
        <w:rPr>
          <w:rFonts w:cs="Simplified Arabic" w:ascii="Times New Roman" w:hAnsi="Times New Roman"/>
          <w:b/>
          <w:bCs/>
          <w:i w:val="false"/>
          <w:iCs w:val="false"/>
          <w:color w:val="000000"/>
          <w:sz w:val="32"/>
          <w:szCs w:val="32"/>
        </w:rPr>
        <w:t>2.2</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المشاركون</w:t>
      </w:r>
      <w:bookmarkEnd w:id="2"/>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تألفت العينة من </w:t>
      </w:r>
      <w:r>
        <w:rPr>
          <w:rFonts w:cs="Traditional Arabic"/>
          <w:b w:val="false"/>
          <w:bCs w:val="false"/>
          <w:i w:val="false"/>
          <w:iCs w:val="false"/>
          <w:color w:val="000000"/>
          <w:sz w:val="32"/>
          <w:szCs w:val="32"/>
        </w:rPr>
        <w:t>30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مريضًا بالسكري من النوع الثاني، بواقع </w:t>
      </w:r>
      <w:r>
        <w:rPr>
          <w:rFonts w:cs="Traditional Arabic"/>
          <w:b w:val="false"/>
          <w:bCs w:val="false"/>
          <w:i w:val="false"/>
          <w:iCs w:val="false"/>
          <w:color w:val="000000"/>
          <w:sz w:val="32"/>
          <w:szCs w:val="32"/>
        </w:rPr>
        <w:t>12</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ذكرًا و</w:t>
      </w:r>
      <w:r>
        <w:rPr>
          <w:rFonts w:cs="Traditional Arabic"/>
          <w:b w:val="false"/>
          <w:bCs w:val="false"/>
          <w:i w:val="false"/>
          <w:iCs w:val="false"/>
          <w:color w:val="000000"/>
          <w:sz w:val="32"/>
          <w:szCs w:val="32"/>
        </w:rPr>
        <w:t>18</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أنثى، تراوحت أعمارهم بين </w:t>
      </w:r>
      <w:r>
        <w:rPr>
          <w:rFonts w:cs="Traditional Arabic"/>
          <w:b w:val="false"/>
          <w:bCs w:val="false"/>
          <w:i w:val="false"/>
          <w:iCs w:val="false"/>
          <w:color w:val="000000"/>
          <w:sz w:val="32"/>
          <w:szCs w:val="32"/>
        </w:rPr>
        <w:t>45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w:t>
      </w:r>
      <w:r>
        <w:rPr>
          <w:rFonts w:cs="Traditional Arabic"/>
          <w:b w:val="false"/>
          <w:bCs w:val="false"/>
          <w:i w:val="false"/>
          <w:iCs w:val="false"/>
          <w:color w:val="000000"/>
          <w:sz w:val="32"/>
          <w:szCs w:val="32"/>
        </w:rPr>
        <w:t>60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عامًا، بمتوسط قدره </w:t>
      </w:r>
      <w:r>
        <w:rPr>
          <w:rFonts w:cs="Traditional Arabic"/>
          <w:b w:val="false"/>
          <w:bCs w:val="false"/>
          <w:i w:val="false"/>
          <w:iCs w:val="false"/>
          <w:color w:val="000000"/>
          <w:sz w:val="32"/>
          <w:szCs w:val="32"/>
        </w:rPr>
        <w:t>53.1</w:t>
      </w:r>
      <w:r>
        <w:rPr>
          <w:rFonts w:cs="Traditional Arabic"/>
          <w:b w:val="false"/>
          <w:bCs w:val="false"/>
          <w:i w:val="false"/>
          <w:iCs w:val="false"/>
          <w:color w:val="000000"/>
          <w:sz w:val="32"/>
          <w:szCs w:val="32"/>
          <w:rtl w:val="true"/>
        </w:rPr>
        <w:t xml:space="preserve"> ± </w:t>
      </w:r>
      <w:r>
        <w:rPr>
          <w:rFonts w:cs="Traditional Arabic"/>
          <w:b w:val="false"/>
          <w:bCs w:val="false"/>
          <w:i w:val="false"/>
          <w:iCs w:val="false"/>
          <w:color w:val="000000"/>
          <w:sz w:val="32"/>
          <w:szCs w:val="32"/>
        </w:rPr>
        <w:t>5.4</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سنة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وبلغ متوسط مدة الإصابة </w:t>
      </w:r>
      <w:r>
        <w:rPr>
          <w:rFonts w:cs="Traditional Arabic"/>
          <w:b w:val="false"/>
          <w:bCs w:val="false"/>
          <w:i w:val="false"/>
          <w:iCs w:val="false"/>
          <w:color w:val="000000"/>
          <w:sz w:val="32"/>
          <w:szCs w:val="32"/>
        </w:rPr>
        <w:t>6.2</w:t>
      </w:r>
      <w:r>
        <w:rPr>
          <w:rFonts w:cs="Traditional Arabic"/>
          <w:b w:val="false"/>
          <w:bCs w:val="false"/>
          <w:i w:val="false"/>
          <w:iCs w:val="false"/>
          <w:color w:val="000000"/>
          <w:sz w:val="32"/>
          <w:szCs w:val="32"/>
          <w:rtl w:val="true"/>
        </w:rPr>
        <w:t xml:space="preserve"> ± </w:t>
      </w:r>
      <w:r>
        <w:rPr>
          <w:rFonts w:cs="Traditional Arabic"/>
          <w:b w:val="false"/>
          <w:bCs w:val="false"/>
          <w:i w:val="false"/>
          <w:iCs w:val="false"/>
          <w:color w:val="000000"/>
          <w:sz w:val="32"/>
          <w:szCs w:val="32"/>
        </w:rPr>
        <w:t>2.5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سنة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اختير المشاركون عمدًا من المراجعين للعيادة المرجعية وفق معايير صارمة شملت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ثبوت التشخيص الطبي منذ عامين أو أكثر، واستقرار الجرعات الدوائية لمدة أربعة أسابيع قبل بدء التجربة، وعدم وجود مضاعفات تمنع ممارسة الجهد المعتدل، إلى جانب الحصول على الموافقة الطبية والموافقة المستنيرة الموقعة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وُزع المشاركون عشوائيًا إلى مجموعتين، تجريبية وضابطة، بواقع </w:t>
      </w:r>
      <w:r>
        <w:rPr>
          <w:rFonts w:cs="Traditional Arabic"/>
          <w:b w:val="false"/>
          <w:bCs w:val="false"/>
          <w:i w:val="false"/>
          <w:iCs w:val="false"/>
          <w:color w:val="000000"/>
          <w:sz w:val="32"/>
          <w:szCs w:val="32"/>
        </w:rPr>
        <w:t>15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مريضًا في كل مجموعة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كما سُجل الحضور أسبوعيًا في سجل موحد، ولم تُسجل أي حالة انسحاب أو استبعاد طوال فترة التطبيق الممتدة من مارس إلى يونيو </w:t>
      </w:r>
      <w:r>
        <w:rPr>
          <w:rFonts w:cs="Traditional Arabic"/>
          <w:b w:val="false"/>
          <w:bCs w:val="false"/>
          <w:i w:val="false"/>
          <w:iCs w:val="false"/>
          <w:color w:val="000000"/>
          <w:sz w:val="32"/>
          <w:szCs w:val="32"/>
        </w:rPr>
        <w:t>2026</w:t>
      </w:r>
      <w:r>
        <w:rPr>
          <w:rFonts w:cs="Traditional Arabic"/>
          <w:b w:val="false"/>
          <w:bCs w:val="false"/>
          <w:i w:val="false"/>
          <w:iCs w:val="false"/>
          <w:color w:val="000000"/>
          <w:sz w:val="32"/>
          <w:szCs w:val="32"/>
          <w:rtl w:val="true"/>
        </w:rPr>
        <w:t>.</w:t>
      </w:r>
    </w:p>
    <w:p>
      <w:pPr>
        <w:pStyle w:val="Heading2"/>
        <w:bidi w:val="1"/>
        <w:spacing w:lineRule="atLeast" w:line="420" w:before="360" w:after="200"/>
        <w:jc w:val="center"/>
        <w:rPr/>
      </w:pPr>
      <w:bookmarkStart w:id="3" w:name="_Toc100004"/>
      <w:r>
        <w:rPr>
          <w:rFonts w:cs="Simplified Arabic" w:ascii="Times New Roman" w:hAnsi="Times New Roman"/>
          <w:b/>
          <w:bCs/>
          <w:i w:val="false"/>
          <w:iCs w:val="false"/>
          <w:color w:val="000000"/>
          <w:sz w:val="32"/>
          <w:szCs w:val="32"/>
        </w:rPr>
        <w:t>2.3</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البرنامج التدريبي المدمج</w:t>
      </w:r>
      <w:bookmarkEnd w:id="3"/>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صُمم البرنامج على نمط الحصة المدمجة بحيث تجمع كل وحدة تدريبية النمطين الهوائي والمقاوم معًا، تماشيًا مع الدليل الدولي على أن هذا التركيب يحقق أعلى انخفاض في السكر التراكمي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Umpierre et al., 2011</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وامتد البرنامج اثني عشر أسبوعًا بمعدل ثلاث حصص أسبوعية غير متتالية، تنفتح كل حصة بإحماء عام عشر دقائق، ثم جزء رئيس نحو خمس وخمسين دقيقة يوزع بالتساوي بين </w:t>
      </w:r>
      <w:r>
        <w:rPr>
          <w:rFonts w:cs="Traditional Arabic"/>
          <w:b w:val="false"/>
          <w:bCs w:val="false"/>
          <w:i w:val="false"/>
          <w:iCs w:val="false"/>
          <w:color w:val="000000"/>
          <w:sz w:val="32"/>
          <w:szCs w:val="32"/>
        </w:rPr>
        <w:t>25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دقيقة جهد هوائي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مشي متسارع ودراجة ثابتة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بنسبة </w:t>
      </w:r>
      <w:r>
        <w:rPr>
          <w:rFonts w:cs="Traditional Arabic"/>
          <w:b w:val="false"/>
          <w:bCs w:val="false"/>
          <w:i w:val="false"/>
          <w:iCs w:val="false"/>
          <w:color w:val="000000"/>
          <w:sz w:val="32"/>
          <w:szCs w:val="32"/>
        </w:rPr>
        <w:t>40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إلى </w:t>
      </w:r>
      <w:r>
        <w:rPr>
          <w:rFonts w:cs="Traditional Arabic"/>
          <w:b w:val="false"/>
          <w:bCs w:val="false"/>
          <w:i w:val="false"/>
          <w:iCs w:val="false"/>
          <w:color w:val="000000"/>
          <w:sz w:val="32"/>
          <w:szCs w:val="32"/>
        </w:rPr>
        <w:t>60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في المائة من الاحتياطي القلبي، و</w:t>
      </w:r>
      <w:r>
        <w:rPr>
          <w:rFonts w:cs="Traditional Arabic"/>
          <w:b w:val="false"/>
          <w:bCs w:val="false"/>
          <w:i w:val="false"/>
          <w:iCs w:val="false"/>
          <w:color w:val="000000"/>
          <w:sz w:val="32"/>
          <w:szCs w:val="32"/>
        </w:rPr>
        <w:t>25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دقيقة تمارين مقاومة تغطي المجموعات العضلية الكبرى بنسبة </w:t>
      </w:r>
      <w:r>
        <w:rPr>
          <w:rFonts w:cs="Traditional Arabic"/>
          <w:b w:val="false"/>
          <w:bCs w:val="false"/>
          <w:i w:val="false"/>
          <w:iCs w:val="false"/>
          <w:color w:val="000000"/>
          <w:sz w:val="32"/>
          <w:szCs w:val="32"/>
        </w:rPr>
        <w:t>40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إلى </w:t>
      </w:r>
      <w:r>
        <w:rPr>
          <w:rFonts w:cs="Traditional Arabic"/>
          <w:b w:val="false"/>
          <w:bCs w:val="false"/>
          <w:i w:val="false"/>
          <w:iCs w:val="false"/>
          <w:color w:val="000000"/>
          <w:sz w:val="32"/>
          <w:szCs w:val="32"/>
        </w:rPr>
        <w:t>60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من الحد الأقصى بمجموعتين إلى ثلاث من </w:t>
      </w:r>
      <w:r>
        <w:rPr>
          <w:rFonts w:cs="Traditional Arabic"/>
          <w:b w:val="false"/>
          <w:bCs w:val="false"/>
          <w:i w:val="false"/>
          <w:iCs w:val="false"/>
          <w:color w:val="000000"/>
          <w:sz w:val="32"/>
          <w:szCs w:val="32"/>
        </w:rPr>
        <w:t>10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إلى </w:t>
      </w:r>
      <w:r>
        <w:rPr>
          <w:rFonts w:cs="Traditional Arabic"/>
          <w:b w:val="false"/>
          <w:bCs w:val="false"/>
          <w:i w:val="false"/>
          <w:iCs w:val="false"/>
          <w:color w:val="000000"/>
          <w:sz w:val="32"/>
          <w:szCs w:val="32"/>
        </w:rPr>
        <w:t>15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تكرارًا، ثم تعافٍ تدريجي عشر دقائق</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وارتقى الحمل الأسبوعي ارتقاءً تدريجيًا موثقًا عبر سجل حصص رسمي، مع فحص سكر الدم قبل كل حصة وبعدها وإجراءات السلامة اللازمة لمنع هبوط الجلوكوز أثناء الأداء</w:t>
      </w:r>
      <w:r>
        <w:rPr>
          <w:rFonts w:cs="Traditional Arabic"/>
          <w:b w:val="false"/>
          <w:bCs w:val="false"/>
          <w:i w:val="false"/>
          <w:iCs w:val="false"/>
          <w:color w:val="000000"/>
          <w:sz w:val="32"/>
          <w:szCs w:val="32"/>
          <w:rtl w:val="true"/>
        </w:rPr>
        <w:t>.</w:t>
      </w:r>
    </w:p>
    <w:p>
      <w:pPr>
        <w:pStyle w:val="Heading2"/>
        <w:bidi w:val="1"/>
        <w:spacing w:lineRule="atLeast" w:line="420" w:before="360" w:after="200"/>
        <w:jc w:val="center"/>
        <w:rPr/>
      </w:pPr>
      <w:bookmarkStart w:id="4" w:name="_Toc100005"/>
      <w:r>
        <w:rPr>
          <w:rFonts w:cs="Simplified Arabic" w:ascii="Times New Roman" w:hAnsi="Times New Roman"/>
          <w:b/>
          <w:bCs/>
          <w:i w:val="false"/>
          <w:iCs w:val="false"/>
          <w:color w:val="000000"/>
          <w:sz w:val="32"/>
          <w:szCs w:val="32"/>
        </w:rPr>
        <w:t>2.4</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المقاييس والأدوات</w:t>
      </w:r>
      <w:bookmarkEnd w:id="4"/>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قيسَت المتغيرات التابعة في القياسين القبلي والبعدي باستخدام منظومة موحدة نُفذت في مختبر معتمد واحد</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وشملت الإجراءات تحليل عينة دم وريدية صائمة لتحديد السكر التراكمي، وسكر الدم الصائم، والإنسولين الصائمي، إلى جانب حساب مقاومة الإنسولين بمؤشر </w:t>
      </w:r>
      <w:r>
        <w:rPr>
          <w:rFonts w:cs="Traditional Arabic"/>
          <w:b w:val="false"/>
          <w:bCs w:val="false"/>
          <w:i w:val="false"/>
          <w:iCs w:val="false"/>
          <w:color w:val="000000"/>
          <w:sz w:val="32"/>
          <w:szCs w:val="32"/>
        </w:rPr>
        <w:t>HOMA-IR</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وفق المنهجية الشائعة في الدراسات المماثلة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 xml:space="preserve">الكيتاني؛ </w:t>
      </w:r>
      <w:r>
        <w:rPr>
          <w:rFonts w:cs="Traditional Arabic"/>
          <w:b w:val="false"/>
          <w:bCs w:val="false"/>
          <w:i w:val="false"/>
          <w:iCs w:val="false"/>
          <w:color w:val="000000"/>
          <w:sz w:val="32"/>
          <w:szCs w:val="32"/>
        </w:rPr>
        <w:t>Niemann et al., 2020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كما قيسَت قوة قبضة اليد بالدينامومتر من خلال ثلاث محاولات، واعتمدت أفضل نتيجة، وقيس محيط الخصر بشريط موضوع في منتصف المسافة بين الحافة السفلية للضلع وقمة عرف الحرقفة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وحُسب مؤشر كتلة الجسم اعتمادًا على الطول والوزن المقاسَين بميزان وأداة قياس معايرين</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كذلك استُخدمت ساعة لمراقبة النبض وضبط شدة الجزء الهوائي لحظة بلحظة، وتحقق صدق الأدوات بعرضها على محكمين متخصصين، في حين قيس ثبات المقاييس الحركية بمعامل ارتباط التجزئة النصفية</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5" w:name="_Toc100006"/>
      <w:r>
        <w:rPr>
          <w:rFonts w:cs="Simplified Arabic" w:ascii="Times New Roman" w:hAnsi="Times New Roman"/>
          <w:b/>
          <w:bCs/>
          <w:i w:val="false"/>
          <w:iCs w:val="false"/>
          <w:color w:val="000000"/>
          <w:sz w:val="32"/>
          <w:szCs w:val="32"/>
        </w:rPr>
        <w:t>2.5</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التحليل الإحصائي</w:t>
      </w:r>
      <w:bookmarkEnd w:id="5"/>
    </w:p>
    <w:p>
      <w:pPr>
        <w:pStyle w:val="Normal"/>
        <w:bidi w:val="1"/>
        <w:spacing w:lineRule="atLeast" w:line="360" w:before="0" w:after="120"/>
        <w:ind w:firstLine="480"/>
        <w:jc w:val="both"/>
        <w:rPr/>
      </w:pPr>
      <w:r>
        <w:rPr>
          <w:rtl w:val="true"/>
        </w:rPr>
        <w:t>تمت معالجة</w:t>
      </w:r>
      <w:r>
        <w:rPr>
          <w:rFonts w:ascii="Times New Roman" w:hAnsi="Times New Roman"/>
          <w:b w:val="false"/>
          <w:b w:val="false"/>
          <w:bCs w:val="false"/>
          <w:i w:val="false"/>
          <w:i w:val="false"/>
          <w:iCs w:val="false"/>
          <w:color w:val="000000"/>
          <w:sz w:val="32"/>
          <w:sz w:val="32"/>
          <w:szCs w:val="32"/>
          <w:rtl w:val="true"/>
        </w:rPr>
        <w:t xml:space="preserve"> البيانات بالحزمة الإحصائية للعلوم الاجتماعية </w:t>
      </w:r>
      <w:r>
        <w:rPr>
          <w:rFonts w:cs="Traditional Arabic"/>
          <w:b w:val="false"/>
          <w:bCs w:val="false"/>
          <w:i w:val="false"/>
          <w:iCs w:val="false"/>
          <w:color w:val="000000"/>
          <w:sz w:val="32"/>
          <w:szCs w:val="32"/>
        </w:rPr>
        <w:t>SPSS</w:t>
      </w:r>
      <w:r>
        <w:rPr>
          <w:rFonts w:ascii="Times New Roman" w:hAnsi="Times New Roman"/>
          <w:b w:val="false"/>
          <w:b w:val="false"/>
          <w:bCs w:val="false"/>
          <w:i w:val="false"/>
          <w:i w:val="false"/>
          <w:iCs w:val="false"/>
          <w:color w:val="000000"/>
          <w:sz w:val="32"/>
          <w:sz w:val="32"/>
          <w:szCs w:val="32"/>
          <w:rtl w:val="true"/>
        </w:rPr>
        <w:t xml:space="preserve">، حيث حُسبت المتوسطات الحسابية والانحرافات المعيارية لوصف مستويات المتغيرات،ثم اختُبرت الفروق داخل كل مجموعة بين القياسين باختبار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للعينات المرتبطة، واختُبرت الفروق بين المجموعتين في القياس البعدي باختبار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للعينات المستقلة، عند مستوى دلالة </w:t>
      </w:r>
      <w:r>
        <w:rPr>
          <w:rFonts w:cs="Traditional Arabic"/>
          <w:b w:val="false"/>
          <w:bCs w:val="false"/>
          <w:i w:val="false"/>
          <w:iCs w:val="false"/>
          <w:color w:val="000000"/>
          <w:sz w:val="32"/>
          <w:szCs w:val="32"/>
        </w:rPr>
        <w:t>0.05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كما احتُسب حجم الأثر للفروق الدالة بمعامل </w:t>
      </w:r>
      <w:r>
        <w:rPr>
          <w:rFonts w:cs="Traditional Arabic"/>
          <w:b w:val="false"/>
          <w:bCs w:val="false"/>
          <w:i w:val="false"/>
          <w:iCs w:val="false"/>
          <w:color w:val="000000"/>
          <w:sz w:val="32"/>
          <w:szCs w:val="32"/>
        </w:rPr>
        <w:t>d</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كوهين لترجمة الدلالة الإحصائية إلى معنى عملي قابل للتقويم السريري، وعُرضت النتائج في جداول إحصائية مقتضبة تسبقها جملة تعريفية وتعقبها قراءة مباشرة وفق متطلبات صيغة </w:t>
      </w:r>
      <w:r>
        <w:rPr>
          <w:rFonts w:cs="Traditional Arabic"/>
          <w:b w:val="false"/>
          <w:bCs w:val="false"/>
          <w:i w:val="false"/>
          <w:iCs w:val="false"/>
          <w:color w:val="000000"/>
          <w:sz w:val="32"/>
          <w:szCs w:val="32"/>
        </w:rPr>
        <w:t>IMRAD</w:t>
      </w:r>
      <w:r>
        <w:rPr>
          <w:rFonts w:cs="Traditional Arabic"/>
          <w:b w:val="false"/>
          <w:bCs w:val="false"/>
          <w:i w:val="false"/>
          <w:iCs w:val="false"/>
          <w:color w:val="000000"/>
          <w:sz w:val="32"/>
          <w:szCs w:val="32"/>
          <w:rtl w:val="true"/>
        </w:rPr>
        <w:t>.</w:t>
      </w:r>
    </w:p>
    <w:p>
      <w:pPr>
        <w:pStyle w:val="Heading1"/>
        <w:bidi w:val="1"/>
        <w:spacing w:lineRule="atLeast" w:line="460" w:before="480" w:after="300"/>
        <w:jc w:val="center"/>
        <w:rPr/>
      </w:pPr>
      <w:bookmarkStart w:id="6" w:name="_Toc100007"/>
      <w:r>
        <w:rPr>
          <w:rFonts w:cs="Simplified Arabic" w:ascii="Times New Roman" w:hAnsi="Times New Roman"/>
          <w:b/>
          <w:bCs/>
          <w:i w:val="false"/>
          <w:iCs w:val="false"/>
          <w:color w:val="000000"/>
          <w:sz w:val="36"/>
          <w:szCs w:val="36"/>
        </w:rPr>
        <w:t>3</w:t>
      </w:r>
      <w:r>
        <w:rPr>
          <w:rFonts w:cs="Simplified Arabic" w:ascii="Times New Roman" w:hAnsi="Times New Roman"/>
          <w:b/>
          <w:bCs/>
          <w:i w:val="false"/>
          <w:iCs w:val="false"/>
          <w:color w:val="000000"/>
          <w:sz w:val="36"/>
          <w:szCs w:val="36"/>
          <w:rtl w:val="true"/>
        </w:rPr>
        <w:t xml:space="preserve">. </w:t>
      </w:r>
      <w:r>
        <w:rPr>
          <w:rFonts w:ascii="Times New Roman" w:hAnsi="Times New Roman"/>
          <w:b/>
          <w:b/>
          <w:bCs/>
          <w:i w:val="false"/>
          <w:i w:val="false"/>
          <w:iCs w:val="false"/>
          <w:color w:val="000000"/>
          <w:sz w:val="36"/>
          <w:sz w:val="36"/>
          <w:szCs w:val="36"/>
          <w:rtl w:val="true"/>
        </w:rPr>
        <w:t>النتائج</w:t>
      </w:r>
      <w:bookmarkEnd w:id="6"/>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تعرض الفقرات الآتية النتائج الفعلية التي أسفر عنها التطبيق الميداني والتحليل الإحصائي، موزعة على جدولين</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يقدم الأول استجابة المجموعة التجريبية بين القياسين القبلي والبعدي في المتغيرات الستة، ويقدم الثاني مقارنة المجموعتين في القياس البعدي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وتقرأ كل مجموعة بيانات بقراءة تحليلية مباشرة تربط قيمة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ومستوى الدلالة بحجم التغير النسبي ومضمونه الفسيولوجي</w:t>
      </w:r>
      <w:r>
        <w:rPr>
          <w:rFonts w:cs="Traditional Arabic"/>
          <w:b w:val="false"/>
          <w:bCs w:val="false"/>
          <w:i w:val="false"/>
          <w:iCs w:val="false"/>
          <w:color w:val="000000"/>
          <w:sz w:val="32"/>
          <w:szCs w:val="32"/>
          <w:rtl w:val="true"/>
        </w:rPr>
        <w:t>.</w:t>
      </w:r>
    </w:p>
    <w:p>
      <w:pPr>
        <w:pStyle w:val="Normal"/>
        <w:keepNext w:val="true"/>
        <w:bidi w:val="1"/>
        <w:spacing w:lineRule="atLeast" w:line="320" w:before="240" w:after="120"/>
        <w:jc w:val="center"/>
        <w:rPr/>
      </w:pPr>
      <w:r>
        <w:rPr>
          <w:rFonts w:ascii="Times New Roman" w:hAnsi="Times New Roman"/>
          <w:b/>
          <w:b/>
          <w:bCs/>
          <w:i w:val="false"/>
          <w:i w:val="false"/>
          <w:iCs w:val="false"/>
          <w:color w:val="000000"/>
          <w:sz w:val="24"/>
          <w:sz w:val="24"/>
          <w:szCs w:val="24"/>
          <w:rtl w:val="true"/>
        </w:rPr>
        <w:t xml:space="preserve">جدول </w:t>
      </w:r>
      <w:r>
        <w:rPr>
          <w:rFonts w:cs="Traditional Arabic"/>
          <w:b/>
          <w:bCs/>
          <w:i w:val="false"/>
          <w:iCs w:val="false"/>
          <w:color w:val="000000"/>
          <w:sz w:val="24"/>
          <w:szCs w:val="24"/>
          <w:rtl w:val="true"/>
        </w:rPr>
        <w:t>(</w:t>
      </w:r>
      <w:r>
        <w:rPr>
          <w:rFonts w:cs="Traditional Arabic"/>
          <w:b/>
          <w:bCs/>
          <w:i w:val="false"/>
          <w:iCs w:val="false"/>
          <w:color w:val="000000"/>
          <w:sz w:val="24"/>
          <w:szCs w:val="24"/>
        </w:rPr>
        <w:t>1</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 xml:space="preserve">المتوسطات والانحرافات المعيارية وقيمة </w:t>
      </w:r>
      <w:r>
        <w:rPr>
          <w:rFonts w:cs="Traditional Arabic"/>
          <w:b/>
          <w:bCs/>
          <w:i w:val="false"/>
          <w:iCs w:val="false"/>
          <w:color w:val="000000"/>
          <w:sz w:val="24"/>
          <w:szCs w:val="24"/>
          <w:rtl w:val="true"/>
        </w:rPr>
        <w:t>(</w:t>
      </w:r>
      <w:r>
        <w:rPr>
          <w:rFonts w:ascii="Times New Roman" w:hAnsi="Times New Roman"/>
          <w:b/>
          <w:b/>
          <w:bCs/>
          <w:i w:val="false"/>
          <w:i w:val="false"/>
          <w:iCs w:val="false"/>
          <w:color w:val="000000"/>
          <w:sz w:val="24"/>
          <w:sz w:val="24"/>
          <w:szCs w:val="24"/>
          <w:rtl w:val="true"/>
        </w:rPr>
        <w:t>ت</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بين القياسين القبلي والبعدي للمجموعة التجريبية</w:t>
      </w:r>
    </w:p>
    <w:tbl>
      <w:tblPr>
        <w:bidiVisual w:val="true"/>
        <w:tblW w:w="5000" w:type="pct"/>
        <w:jc w:val="left"/>
        <w:tblInd w:w="0" w:type="dxa"/>
        <w:tblLayout w:type="fixed"/>
        <w:tblCellMar>
          <w:top w:w="60" w:type="dxa"/>
          <w:left w:w="100" w:type="dxa"/>
          <w:bottom w:w="60" w:type="dxa"/>
          <w:right w:w="100" w:type="dxa"/>
        </w:tblCellMar>
      </w:tblPr>
      <w:tblGrid>
        <w:gridCol w:w="1757"/>
        <w:gridCol w:w="1758"/>
        <w:gridCol w:w="1757"/>
        <w:gridCol w:w="1758"/>
        <w:gridCol w:w="1758"/>
      </w:tblGrid>
      <w:tr>
        <w:trPr>
          <w:tblHeader w:val="true"/>
          <w:cantSplit w:val="true"/>
        </w:trPr>
        <w:tc>
          <w:tcPr>
            <w:tcW w:w="1757"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المتغير</w:t>
            </w:r>
          </w:p>
        </w:tc>
        <w:tc>
          <w:tcPr>
            <w:tcW w:w="1758"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قبلي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 xml:space="preserve">م </w:t>
            </w:r>
            <w:r>
              <w:rPr>
                <w:rFonts w:cs="Simplified Arabic"/>
                <w:b/>
                <w:bCs/>
                <w:i w:val="false"/>
                <w:iCs w:val="false"/>
                <w:color w:val="000000"/>
                <w:sz w:val="24"/>
                <w:szCs w:val="24"/>
                <w:rtl w:val="true"/>
              </w:rPr>
              <w:t xml:space="preserve">± </w:t>
            </w:r>
            <w:r>
              <w:rPr>
                <w:rFonts w:ascii="Times New Roman" w:hAnsi="Times New Roman" w:cs="Simplified Arabic"/>
                <w:b/>
                <w:b/>
                <w:bCs/>
                <w:i w:val="false"/>
                <w:i w:val="false"/>
                <w:iCs w:val="false"/>
                <w:color w:val="000000"/>
                <w:sz w:val="24"/>
                <w:sz w:val="24"/>
                <w:szCs w:val="24"/>
                <w:rtl w:val="true"/>
              </w:rPr>
              <w:t>ع</w:t>
            </w:r>
            <w:r>
              <w:rPr>
                <w:rFonts w:cs="Simplified Arabic"/>
                <w:b/>
                <w:bCs/>
                <w:i w:val="false"/>
                <w:iCs w:val="false"/>
                <w:color w:val="000000"/>
                <w:sz w:val="24"/>
                <w:szCs w:val="24"/>
                <w:rtl w:val="true"/>
              </w:rPr>
              <w:t>)</w:t>
            </w:r>
          </w:p>
        </w:tc>
        <w:tc>
          <w:tcPr>
            <w:tcW w:w="1757"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بعدي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 xml:space="preserve">م </w:t>
            </w:r>
            <w:r>
              <w:rPr>
                <w:rFonts w:cs="Simplified Arabic"/>
                <w:b/>
                <w:bCs/>
                <w:i w:val="false"/>
                <w:iCs w:val="false"/>
                <w:color w:val="000000"/>
                <w:sz w:val="24"/>
                <w:szCs w:val="24"/>
                <w:rtl w:val="true"/>
              </w:rPr>
              <w:t xml:space="preserve">± </w:t>
            </w:r>
            <w:r>
              <w:rPr>
                <w:rFonts w:ascii="Times New Roman" w:hAnsi="Times New Roman" w:cs="Simplified Arabic"/>
                <w:b/>
                <w:b/>
                <w:bCs/>
                <w:i w:val="false"/>
                <w:i w:val="false"/>
                <w:iCs w:val="false"/>
                <w:color w:val="000000"/>
                <w:sz w:val="24"/>
                <w:sz w:val="24"/>
                <w:szCs w:val="24"/>
                <w:rtl w:val="true"/>
              </w:rPr>
              <w:t>ع</w:t>
            </w:r>
            <w:r>
              <w:rPr>
                <w:rFonts w:cs="Simplified Arabic"/>
                <w:b/>
                <w:bCs/>
                <w:i w:val="false"/>
                <w:iCs w:val="false"/>
                <w:color w:val="000000"/>
                <w:sz w:val="24"/>
                <w:szCs w:val="24"/>
                <w:rtl w:val="true"/>
              </w:rPr>
              <w:t>)</w:t>
            </w:r>
          </w:p>
        </w:tc>
        <w:tc>
          <w:tcPr>
            <w:tcW w:w="1758"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قيمة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ت</w:t>
            </w:r>
            <w:r>
              <w:rPr>
                <w:rFonts w:cs="Simplified Arabic"/>
                <w:b/>
                <w:bCs/>
                <w:i w:val="false"/>
                <w:iCs w:val="false"/>
                <w:color w:val="000000"/>
                <w:sz w:val="24"/>
                <w:szCs w:val="24"/>
                <w:rtl w:val="true"/>
              </w:rPr>
              <w:t>)</w:t>
            </w:r>
          </w:p>
        </w:tc>
        <w:tc>
          <w:tcPr>
            <w:tcW w:w="1758"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الدلالة</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السكر التراكمي </w:t>
            </w:r>
            <w:r>
              <w:rPr>
                <w:rFonts w:cs="Traditional Arabic"/>
                <w:b w:val="false"/>
                <w:bCs w:val="false"/>
                <w:i w:val="false"/>
                <w:iCs w:val="false"/>
                <w:color w:val="000000"/>
                <w:sz w:val="24"/>
                <w:szCs w:val="24"/>
                <w:rtl w:val="true"/>
              </w:rPr>
              <w:t>(%)</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8.15</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0.68</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7.41</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0.59</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6.95</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السكر الصائم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ملغ</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دل</w:t>
            </w:r>
            <w:r>
              <w:rPr>
                <w:rFonts w:cs="Traditional Arabic"/>
                <w:b w:val="false"/>
                <w:bCs w:val="false"/>
                <w:i w:val="false"/>
                <w:iCs w:val="false"/>
                <w:color w:val="000000"/>
                <w:sz w:val="24"/>
                <w:szCs w:val="24"/>
                <w:rtl w:val="true"/>
              </w:rPr>
              <w:t>)</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172.4</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19.8</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138.6</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17.2</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7.61</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مقاومة الإنسولين </w:t>
            </w:r>
            <w:r>
              <w:rPr>
                <w:rFonts w:cs="Traditional Arabic"/>
                <w:b w:val="false"/>
                <w:bCs w:val="false"/>
                <w:i w:val="false"/>
                <w:iCs w:val="false"/>
                <w:color w:val="000000"/>
                <w:sz w:val="24"/>
                <w:szCs w:val="24"/>
              </w:rPr>
              <w:t>HOMA-IR</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4.48</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0.79</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3.15</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0.62</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7.83</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القوة اليدوية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كجم</w:t>
            </w:r>
            <w:r>
              <w:rPr>
                <w:rFonts w:cs="Traditional Arabic"/>
                <w:b w:val="false"/>
                <w:bCs w:val="false"/>
                <w:i w:val="false"/>
                <w:iCs w:val="false"/>
                <w:color w:val="000000"/>
                <w:sz w:val="24"/>
                <w:szCs w:val="24"/>
                <w:rtl w:val="true"/>
              </w:rPr>
              <w:t>)</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24.6</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4.2</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28.7</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4.5</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5.42</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محيط الخصر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سم</w:t>
            </w:r>
            <w:r>
              <w:rPr>
                <w:rFonts w:cs="Traditional Arabic"/>
                <w:b w:val="false"/>
                <w:bCs w:val="false"/>
                <w:i w:val="false"/>
                <w:iCs w:val="false"/>
                <w:color w:val="000000"/>
                <w:sz w:val="24"/>
                <w:szCs w:val="24"/>
                <w:rtl w:val="true"/>
              </w:rPr>
              <w:t>)</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106.4</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7.2</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101.2</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6.8</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4.91</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مؤشر كتلة الجسم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كجم</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م</w:t>
            </w:r>
            <w:r>
              <w:rPr>
                <w:rFonts w:cs="Traditional Arabic"/>
                <w:b w:val="false"/>
                <w:bCs w:val="false"/>
                <w:i w:val="false"/>
                <w:iCs w:val="false"/>
                <w:color w:val="000000"/>
                <w:sz w:val="24"/>
                <w:szCs w:val="24"/>
              </w:rPr>
              <w:t>2</w:t>
            </w:r>
            <w:r>
              <w:rPr>
                <w:rFonts w:cs="Traditional Arabic"/>
                <w:b w:val="false"/>
                <w:bCs w:val="false"/>
                <w:i w:val="false"/>
                <w:iCs w:val="false"/>
                <w:color w:val="000000"/>
                <w:sz w:val="24"/>
                <w:szCs w:val="24"/>
                <w:rtl w:val="true"/>
              </w:rPr>
              <w:t>)</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30.9</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2.4</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29.1</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2.1</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4.66</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bl>
    <w:p>
      <w:pPr>
        <w:pStyle w:val="Normal"/>
        <w:bidi w:val="1"/>
        <w:spacing w:lineRule="atLeast" w:line="360" w:before="12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يكشف الجدول استجابة شاملة للمجموعة التجريبية في المتغيرات الستة جميعها، إذ هبط السكر التراكمي </w:t>
      </w:r>
      <w:r>
        <w:rPr>
          <w:rFonts w:cs="Traditional Arabic"/>
          <w:b w:val="false"/>
          <w:bCs w:val="false"/>
          <w:i w:val="false"/>
          <w:iCs w:val="false"/>
          <w:color w:val="000000"/>
          <w:sz w:val="32"/>
          <w:szCs w:val="32"/>
        </w:rPr>
        <w:t>0.74</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نقطة مئوية بما يعادل انخفاضًا نسبيًا </w:t>
      </w:r>
      <w:r>
        <w:rPr>
          <w:rFonts w:cs="Traditional Arabic"/>
          <w:b w:val="false"/>
          <w:bCs w:val="false"/>
          <w:i w:val="false"/>
          <w:iCs w:val="false"/>
          <w:color w:val="000000"/>
          <w:sz w:val="32"/>
          <w:szCs w:val="32"/>
        </w:rPr>
        <w:t>9.1</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وتراجع السكر الصائم </w:t>
      </w:r>
      <w:r>
        <w:rPr>
          <w:rFonts w:cs="Traditional Arabic"/>
          <w:b w:val="false"/>
          <w:bCs w:val="false"/>
          <w:i w:val="false"/>
          <w:iCs w:val="false"/>
          <w:color w:val="000000"/>
          <w:sz w:val="32"/>
          <w:szCs w:val="32"/>
        </w:rPr>
        <w:t>33.8</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ملغ</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 xml:space="preserve">دل بمعدل </w:t>
      </w:r>
      <w:r>
        <w:rPr>
          <w:rFonts w:cs="Traditional Arabic"/>
          <w:b w:val="false"/>
          <w:bCs w:val="false"/>
          <w:i w:val="false"/>
          <w:iCs w:val="false"/>
          <w:color w:val="000000"/>
          <w:sz w:val="32"/>
          <w:szCs w:val="32"/>
        </w:rPr>
        <w:t>19.6</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وانخفضت مقاومة الإنسولين </w:t>
      </w:r>
      <w:r>
        <w:rPr>
          <w:rFonts w:cs="Traditional Arabic"/>
          <w:b w:val="false"/>
          <w:bCs w:val="false"/>
          <w:i w:val="false"/>
          <w:iCs w:val="false"/>
          <w:color w:val="000000"/>
          <w:sz w:val="32"/>
          <w:szCs w:val="32"/>
        </w:rPr>
        <w:t>29.7</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في المائة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وتواكبت الاستجابة الجسمية مع الاستجابة الأيضية، فتقلص محيط الخصر </w:t>
      </w:r>
      <w:r>
        <w:rPr>
          <w:rFonts w:cs="Traditional Arabic"/>
          <w:b w:val="false"/>
          <w:bCs w:val="false"/>
          <w:i w:val="false"/>
          <w:iCs w:val="false"/>
          <w:color w:val="000000"/>
          <w:sz w:val="32"/>
          <w:szCs w:val="32"/>
        </w:rPr>
        <w:t>5.2</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سم وتراجع مؤشر كتلة الجسم </w:t>
      </w:r>
      <w:r>
        <w:rPr>
          <w:rFonts w:cs="Traditional Arabic"/>
          <w:b w:val="false"/>
          <w:bCs w:val="false"/>
          <w:i w:val="false"/>
          <w:iCs w:val="false"/>
          <w:color w:val="000000"/>
          <w:sz w:val="32"/>
          <w:szCs w:val="32"/>
        </w:rPr>
        <w:t>1.8</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وحدة، بينما ارتفعت القوة اليدوية </w:t>
      </w:r>
      <w:r>
        <w:rPr>
          <w:rFonts w:cs="Traditional Arabic"/>
          <w:b w:val="false"/>
          <w:bCs w:val="false"/>
          <w:i w:val="false"/>
          <w:iCs w:val="false"/>
          <w:color w:val="000000"/>
          <w:sz w:val="32"/>
          <w:szCs w:val="32"/>
        </w:rPr>
        <w:t>4.1</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كجم بمعدل تحسن </w:t>
      </w:r>
      <w:r>
        <w:rPr>
          <w:rFonts w:cs="Traditional Arabic"/>
          <w:b w:val="false"/>
          <w:bCs w:val="false"/>
          <w:i w:val="false"/>
          <w:iCs w:val="false"/>
          <w:color w:val="000000"/>
          <w:sz w:val="32"/>
          <w:szCs w:val="32"/>
        </w:rPr>
        <w:t>16.7</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في المائة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وجاءت قيم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المحسوبة أعلى من الجدولية في كل المتغيرات، مع أحجام أثر تقع في النطاق الكبير لمؤشرات الضبط ومتوسط إلى كبير للمؤشرات الجسمية والعضلية، مما يدل على أن الحصة المدمجة أحدثت تكيفًا متعدد المنظومات لا تحسنًا مفردًا عابرًا</w:t>
      </w:r>
      <w:r>
        <w:rPr>
          <w:rFonts w:cs="Traditional Arabic"/>
          <w:b w:val="false"/>
          <w:bCs w:val="false"/>
          <w:i w:val="false"/>
          <w:iCs w:val="false"/>
          <w:color w:val="000000"/>
          <w:sz w:val="32"/>
          <w:szCs w:val="32"/>
          <w:rtl w:val="true"/>
        </w:rPr>
        <w:t>.</w:t>
      </w:r>
    </w:p>
    <w:p>
      <w:pPr>
        <w:pStyle w:val="Normal"/>
        <w:keepNext w:val="true"/>
        <w:bidi w:val="1"/>
        <w:spacing w:lineRule="atLeast" w:line="320" w:before="240" w:after="120"/>
        <w:jc w:val="center"/>
        <w:rPr/>
      </w:pPr>
      <w:r>
        <w:rPr>
          <w:rFonts w:ascii="Times New Roman" w:hAnsi="Times New Roman"/>
          <w:b/>
          <w:b/>
          <w:bCs/>
          <w:i w:val="false"/>
          <w:i w:val="false"/>
          <w:iCs w:val="false"/>
          <w:color w:val="000000"/>
          <w:sz w:val="24"/>
          <w:sz w:val="24"/>
          <w:szCs w:val="24"/>
          <w:rtl w:val="true"/>
        </w:rPr>
        <w:t xml:space="preserve">جدول </w:t>
      </w:r>
      <w:r>
        <w:rPr>
          <w:rFonts w:cs="Traditional Arabic"/>
          <w:b/>
          <w:bCs/>
          <w:i w:val="false"/>
          <w:iCs w:val="false"/>
          <w:color w:val="000000"/>
          <w:sz w:val="24"/>
          <w:szCs w:val="24"/>
          <w:rtl w:val="true"/>
        </w:rPr>
        <w:t>(</w:t>
      </w:r>
      <w:r>
        <w:rPr>
          <w:rFonts w:cs="Traditional Arabic"/>
          <w:b/>
          <w:bCs/>
          <w:i w:val="false"/>
          <w:iCs w:val="false"/>
          <w:color w:val="000000"/>
          <w:sz w:val="24"/>
          <w:szCs w:val="24"/>
        </w:rPr>
        <w:t>2</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 xml:space="preserve">قيمة </w:t>
      </w:r>
      <w:r>
        <w:rPr>
          <w:rFonts w:cs="Traditional Arabic"/>
          <w:b/>
          <w:bCs/>
          <w:i w:val="false"/>
          <w:iCs w:val="false"/>
          <w:color w:val="000000"/>
          <w:sz w:val="24"/>
          <w:szCs w:val="24"/>
          <w:rtl w:val="true"/>
        </w:rPr>
        <w:t>(</w:t>
      </w:r>
      <w:r>
        <w:rPr>
          <w:rFonts w:ascii="Times New Roman" w:hAnsi="Times New Roman"/>
          <w:b/>
          <w:b/>
          <w:bCs/>
          <w:i w:val="false"/>
          <w:i w:val="false"/>
          <w:iCs w:val="false"/>
          <w:color w:val="000000"/>
          <w:sz w:val="24"/>
          <w:sz w:val="24"/>
          <w:szCs w:val="24"/>
          <w:rtl w:val="true"/>
        </w:rPr>
        <w:t>ت</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ودلالتها بين المجموعة التجريبية والضابطة في القياس البعدي</w:t>
      </w:r>
    </w:p>
    <w:tbl>
      <w:tblPr>
        <w:bidiVisual w:val="true"/>
        <w:tblW w:w="5000" w:type="pct"/>
        <w:jc w:val="left"/>
        <w:tblInd w:w="0" w:type="dxa"/>
        <w:tblLayout w:type="fixed"/>
        <w:tblCellMar>
          <w:top w:w="60" w:type="dxa"/>
          <w:left w:w="100" w:type="dxa"/>
          <w:bottom w:w="60" w:type="dxa"/>
          <w:right w:w="100" w:type="dxa"/>
        </w:tblCellMar>
      </w:tblPr>
      <w:tblGrid>
        <w:gridCol w:w="1757"/>
        <w:gridCol w:w="1758"/>
        <w:gridCol w:w="1757"/>
        <w:gridCol w:w="1758"/>
        <w:gridCol w:w="1758"/>
      </w:tblGrid>
      <w:tr>
        <w:trPr>
          <w:tblHeader w:val="true"/>
          <w:cantSplit w:val="true"/>
        </w:trPr>
        <w:tc>
          <w:tcPr>
            <w:tcW w:w="1757"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المتغير</w:t>
            </w:r>
          </w:p>
        </w:tc>
        <w:tc>
          <w:tcPr>
            <w:tcW w:w="1758"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تجريبية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 xml:space="preserve">م </w:t>
            </w:r>
            <w:r>
              <w:rPr>
                <w:rFonts w:cs="Simplified Arabic"/>
                <w:b/>
                <w:bCs/>
                <w:i w:val="false"/>
                <w:iCs w:val="false"/>
                <w:color w:val="000000"/>
                <w:sz w:val="24"/>
                <w:szCs w:val="24"/>
                <w:rtl w:val="true"/>
              </w:rPr>
              <w:t xml:space="preserve">± </w:t>
            </w:r>
            <w:r>
              <w:rPr>
                <w:rFonts w:ascii="Times New Roman" w:hAnsi="Times New Roman" w:cs="Simplified Arabic"/>
                <w:b/>
                <w:b/>
                <w:bCs/>
                <w:i w:val="false"/>
                <w:i w:val="false"/>
                <w:iCs w:val="false"/>
                <w:color w:val="000000"/>
                <w:sz w:val="24"/>
                <w:sz w:val="24"/>
                <w:szCs w:val="24"/>
                <w:rtl w:val="true"/>
              </w:rPr>
              <w:t>ع</w:t>
            </w:r>
            <w:r>
              <w:rPr>
                <w:rFonts w:cs="Simplified Arabic"/>
                <w:b/>
                <w:bCs/>
                <w:i w:val="false"/>
                <w:iCs w:val="false"/>
                <w:color w:val="000000"/>
                <w:sz w:val="24"/>
                <w:szCs w:val="24"/>
                <w:rtl w:val="true"/>
              </w:rPr>
              <w:t>)</w:t>
            </w:r>
          </w:p>
        </w:tc>
        <w:tc>
          <w:tcPr>
            <w:tcW w:w="1757"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ضابطة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 xml:space="preserve">م </w:t>
            </w:r>
            <w:r>
              <w:rPr>
                <w:rFonts w:cs="Simplified Arabic"/>
                <w:b/>
                <w:bCs/>
                <w:i w:val="false"/>
                <w:iCs w:val="false"/>
                <w:color w:val="000000"/>
                <w:sz w:val="24"/>
                <w:szCs w:val="24"/>
                <w:rtl w:val="true"/>
              </w:rPr>
              <w:t xml:space="preserve">± </w:t>
            </w:r>
            <w:r>
              <w:rPr>
                <w:rFonts w:ascii="Times New Roman" w:hAnsi="Times New Roman" w:cs="Simplified Arabic"/>
                <w:b/>
                <w:b/>
                <w:bCs/>
                <w:i w:val="false"/>
                <w:i w:val="false"/>
                <w:iCs w:val="false"/>
                <w:color w:val="000000"/>
                <w:sz w:val="24"/>
                <w:sz w:val="24"/>
                <w:szCs w:val="24"/>
                <w:rtl w:val="true"/>
              </w:rPr>
              <w:t>ع</w:t>
            </w:r>
            <w:r>
              <w:rPr>
                <w:rFonts w:cs="Simplified Arabic"/>
                <w:b/>
                <w:bCs/>
                <w:i w:val="false"/>
                <w:iCs w:val="false"/>
                <w:color w:val="000000"/>
                <w:sz w:val="24"/>
                <w:szCs w:val="24"/>
                <w:rtl w:val="true"/>
              </w:rPr>
              <w:t>)</w:t>
            </w:r>
          </w:p>
        </w:tc>
        <w:tc>
          <w:tcPr>
            <w:tcW w:w="1758"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قيمة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ت</w:t>
            </w:r>
            <w:r>
              <w:rPr>
                <w:rFonts w:cs="Simplified Arabic"/>
                <w:b/>
                <w:bCs/>
                <w:i w:val="false"/>
                <w:iCs w:val="false"/>
                <w:color w:val="000000"/>
                <w:sz w:val="24"/>
                <w:szCs w:val="24"/>
                <w:rtl w:val="true"/>
              </w:rPr>
              <w:t>)</w:t>
            </w:r>
          </w:p>
        </w:tc>
        <w:tc>
          <w:tcPr>
            <w:tcW w:w="1758"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الدلالة</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السكر التراكمي </w:t>
            </w:r>
            <w:r>
              <w:rPr>
                <w:rFonts w:cs="Traditional Arabic"/>
                <w:b w:val="false"/>
                <w:bCs w:val="false"/>
                <w:i w:val="false"/>
                <w:iCs w:val="false"/>
                <w:color w:val="000000"/>
                <w:sz w:val="24"/>
                <w:szCs w:val="24"/>
                <w:rtl w:val="true"/>
              </w:rPr>
              <w:t>(%)</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7.41</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0.59</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8.08</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0.63</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2.85</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السكر الصائم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ملغ</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دل</w:t>
            </w:r>
            <w:r>
              <w:rPr>
                <w:rFonts w:cs="Traditional Arabic"/>
                <w:b w:val="false"/>
                <w:bCs w:val="false"/>
                <w:i w:val="false"/>
                <w:iCs w:val="false"/>
                <w:color w:val="000000"/>
                <w:sz w:val="24"/>
                <w:szCs w:val="24"/>
                <w:rtl w:val="true"/>
              </w:rPr>
              <w:t>)</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138.6</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17.2</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170.8</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19.4</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4.56</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مقاومة الإنسولين </w:t>
            </w:r>
            <w:r>
              <w:rPr>
                <w:rFonts w:cs="Traditional Arabic"/>
                <w:b w:val="false"/>
                <w:bCs w:val="false"/>
                <w:i w:val="false"/>
                <w:iCs w:val="false"/>
                <w:color w:val="000000"/>
                <w:sz w:val="24"/>
                <w:szCs w:val="24"/>
              </w:rPr>
              <w:t>HOMA-IR</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3.15</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0.62</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4.47</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0.77</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4.91</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القوة اليدوية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كجم</w:t>
            </w:r>
            <w:r>
              <w:rPr>
                <w:rFonts w:cs="Traditional Arabic"/>
                <w:b w:val="false"/>
                <w:bCs w:val="false"/>
                <w:i w:val="false"/>
                <w:iCs w:val="false"/>
                <w:color w:val="000000"/>
                <w:sz w:val="24"/>
                <w:szCs w:val="24"/>
                <w:rtl w:val="true"/>
              </w:rPr>
              <w:t>)</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28.7</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4.5</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24.9</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4.1</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2.42</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محيط الخصر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سم</w:t>
            </w:r>
            <w:r>
              <w:rPr>
                <w:rFonts w:cs="Traditional Arabic"/>
                <w:b w:val="false"/>
                <w:bCs w:val="false"/>
                <w:i w:val="false"/>
                <w:iCs w:val="false"/>
                <w:color w:val="000000"/>
                <w:sz w:val="24"/>
                <w:szCs w:val="24"/>
                <w:rtl w:val="true"/>
              </w:rPr>
              <w:t>)</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101.2</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6.8</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106.8</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7.2</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2.19</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7"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مؤشر كتلة الجسم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كجم</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م</w:t>
            </w:r>
            <w:r>
              <w:rPr>
                <w:rFonts w:cs="Traditional Arabic"/>
                <w:b w:val="false"/>
                <w:bCs w:val="false"/>
                <w:i w:val="false"/>
                <w:iCs w:val="false"/>
                <w:color w:val="000000"/>
                <w:sz w:val="24"/>
                <w:szCs w:val="24"/>
              </w:rPr>
              <w:t>2</w:t>
            </w:r>
            <w:r>
              <w:rPr>
                <w:rFonts w:cs="Traditional Arabic"/>
                <w:b w:val="false"/>
                <w:bCs w:val="false"/>
                <w:i w:val="false"/>
                <w:iCs w:val="false"/>
                <w:color w:val="000000"/>
                <w:sz w:val="24"/>
                <w:szCs w:val="24"/>
                <w:rtl w:val="true"/>
              </w:rPr>
              <w:t>)</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29.1</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2.1</w:t>
            </w:r>
          </w:p>
        </w:tc>
        <w:tc>
          <w:tcPr>
            <w:tcW w:w="1757"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30.9</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2.3</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2.24</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bl>
    <w:p>
      <w:pPr>
        <w:pStyle w:val="Normal"/>
        <w:bidi w:val="1"/>
        <w:spacing w:lineRule="atLeast" w:line="360" w:before="12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يتضح تفوق المجموعة التجريبية على الضابطة في القياس البعدي بفروق دالة في المتغيرات الستة كلها، وقد بلغت الفروق ذروتها في مقاومة الإنسولين والسكر الصائم حيث تجاوزت قيمتا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cs="Traditional Arabic"/>
          <w:b w:val="false"/>
          <w:bCs w:val="false"/>
          <w:i w:val="false"/>
          <w:iCs w:val="false"/>
          <w:color w:val="000000"/>
          <w:sz w:val="32"/>
          <w:szCs w:val="32"/>
        </w:rPr>
        <w:t>4.5</w:t>
      </w:r>
      <w:r>
        <w:rPr>
          <w:rFonts w:ascii="Times New Roman" w:hAnsi="Times New Roman"/>
          <w:b w:val="false"/>
          <w:b w:val="false"/>
          <w:bCs w:val="false"/>
          <w:i w:val="false"/>
          <w:i w:val="false"/>
          <w:iCs w:val="false"/>
          <w:color w:val="000000"/>
          <w:sz w:val="32"/>
          <w:sz w:val="32"/>
          <w:szCs w:val="32"/>
          <w:rtl w:val="true"/>
        </w:rPr>
        <w:t>، بينما بقيت الفروق دالة بأحجام متوسطة في مؤشرات التكوين الجسمي والقوة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ويعني ذلك أن التحسن المرصود لا يرجع إلى تغيرات زمنية عامة أو تكيف مع إجراءات القياس، إذ ظلت الضابطة قريبة من مستوياتها القبلية، بل إلى أثر البرنامج التدريبي المدمج تحديدًا</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وبذلك تتحقق فرضيات الدراسة في حدودها كافة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انخفاض دال داخل التجريبية، وثبات نسبي داخل الضابطة، وتفوق دال للتجريبية على الضابطة</w:t>
      </w:r>
      <w:r>
        <w:rPr>
          <w:rFonts w:cs="Traditional Arabic"/>
          <w:b w:val="false"/>
          <w:bCs w:val="false"/>
          <w:i w:val="false"/>
          <w:iCs w:val="false"/>
          <w:color w:val="000000"/>
          <w:sz w:val="32"/>
          <w:szCs w:val="32"/>
          <w:rtl w:val="true"/>
        </w:rPr>
        <w:t>.</w:t>
      </w:r>
    </w:p>
    <w:p>
      <w:pPr>
        <w:pStyle w:val="Heading1"/>
        <w:bidi w:val="1"/>
        <w:spacing w:lineRule="atLeast" w:line="460" w:before="480" w:after="300"/>
        <w:jc w:val="center"/>
        <w:rPr/>
      </w:pPr>
      <w:bookmarkStart w:id="7" w:name="_Toc100008"/>
      <w:r>
        <w:rPr>
          <w:rFonts w:cs="Simplified Arabic" w:ascii="Times New Roman" w:hAnsi="Times New Roman"/>
          <w:b/>
          <w:bCs/>
          <w:i w:val="false"/>
          <w:iCs w:val="false"/>
          <w:color w:val="000000"/>
          <w:sz w:val="36"/>
          <w:szCs w:val="36"/>
        </w:rPr>
        <w:t>4</w:t>
      </w:r>
      <w:r>
        <w:rPr>
          <w:rFonts w:cs="Simplified Arabic" w:ascii="Times New Roman" w:hAnsi="Times New Roman"/>
          <w:b/>
          <w:bCs/>
          <w:i w:val="false"/>
          <w:iCs w:val="false"/>
          <w:color w:val="000000"/>
          <w:sz w:val="36"/>
          <w:szCs w:val="36"/>
          <w:rtl w:val="true"/>
        </w:rPr>
        <w:t xml:space="preserve">. </w:t>
      </w:r>
      <w:r>
        <w:rPr>
          <w:rFonts w:ascii="Times New Roman" w:hAnsi="Times New Roman"/>
          <w:b/>
          <w:b/>
          <w:bCs/>
          <w:i w:val="false"/>
          <w:i w:val="false"/>
          <w:iCs w:val="false"/>
          <w:color w:val="000000"/>
          <w:sz w:val="36"/>
          <w:sz w:val="36"/>
          <w:szCs w:val="36"/>
          <w:rtl w:val="true"/>
        </w:rPr>
        <w:t>المناقشة</w:t>
      </w:r>
      <w:bookmarkEnd w:id="7"/>
    </w:p>
    <w:p>
      <w:pPr>
        <w:pStyle w:val="Normal"/>
        <w:bidi w:val="1"/>
        <w:spacing w:lineRule="atLeast" w:line="360" w:before="0" w:after="120"/>
        <w:ind w:firstLine="480"/>
        <w:jc w:val="both"/>
        <w:rPr/>
      </w:pPr>
      <w:r>
        <w:rPr>
          <w:rtl w:val="true"/>
        </w:rPr>
        <w:t xml:space="preserve">نلاحظ كيف </w:t>
      </w:r>
      <w:r>
        <w:rPr>
          <w:rFonts w:ascii="Times New Roman" w:hAnsi="Times New Roman"/>
          <w:b w:val="false"/>
          <w:b w:val="false"/>
          <w:bCs w:val="false"/>
          <w:i w:val="false"/>
          <w:i w:val="false"/>
          <w:iCs w:val="false"/>
          <w:color w:val="000000"/>
          <w:sz w:val="32"/>
          <w:sz w:val="32"/>
          <w:szCs w:val="32"/>
          <w:rtl w:val="true"/>
        </w:rPr>
        <w:t xml:space="preserve">تأتي نتيجة انخفاض السكر التراكمي بمقدار </w:t>
      </w:r>
      <w:r>
        <w:rPr>
          <w:rFonts w:cs="Traditional Arabic"/>
          <w:b w:val="false"/>
          <w:bCs w:val="false"/>
          <w:i w:val="false"/>
          <w:iCs w:val="false"/>
          <w:color w:val="000000"/>
          <w:sz w:val="32"/>
          <w:szCs w:val="32"/>
        </w:rPr>
        <w:t>0.74</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نقطة مئوية متسقة مع متوسط الأثر العالمي للبرامج المنظمة المنشورة في مراجعة أومبير وزملائه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Umpierre et al., 2011</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 وهي النتيجة التي تفسَّر فيزيولوجيًا بتضافر آليتين</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pPr>
      <w:r>
        <w:rPr>
          <w:rFonts w:cs="Traditional Arabic"/>
          <w:b w:val="false"/>
          <w:bCs w:val="false"/>
          <w:i w:val="false"/>
          <w:iCs w:val="false"/>
          <w:color w:val="000000"/>
          <w:sz w:val="32"/>
          <w:szCs w:val="32"/>
        </w:rPr>
        <w:t>1</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الاستهلاك الحاد للجلوكوز أثناء الجزء الهوائي عبر المسار المستقل عن الإنسولين</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pPr>
      <w:r>
        <w:rPr>
          <w:rFonts w:cs="Traditional Arabic"/>
          <w:b w:val="false"/>
          <w:bCs w:val="false"/>
          <w:i w:val="false"/>
          <w:iCs w:val="false"/>
          <w:color w:val="000000"/>
          <w:sz w:val="32"/>
          <w:szCs w:val="32"/>
        </w:rPr>
        <w:t>2</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تحسين كفاءة إشارات الإنسولين العضلية على المدى التدريبي برفع محتوى ناقل </w:t>
      </w:r>
      <w:r>
        <w:rPr>
          <w:rFonts w:cs="Traditional Arabic"/>
          <w:b w:val="false"/>
          <w:bCs w:val="false"/>
          <w:i w:val="false"/>
          <w:iCs w:val="false"/>
          <w:color w:val="000000"/>
          <w:sz w:val="32"/>
          <w:szCs w:val="32"/>
        </w:rPr>
        <w:t>GLUT4</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كما وثقته دراسة هولتن وزملائها لدى مرضى مماثلين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Holten et al., 2004</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pPr>
      <w:r>
        <w:rPr>
          <w:rFonts w:ascii="Times New Roman" w:hAnsi="Times New Roman"/>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ويحتمل أن تركيب الحصة المدمجة نفسه كان مساهمًا فعالًا، إذ يوظف النمطان في نافذة استقلابية واحدة فتطول مدة الارتفاع في معدل سحب الجلوكوز بعد الحصة، وهو التفسير الذي ينسجم مع رصد المراجعة ذاتها لتفوق التركيب المدمج على الأنماط المنفصلة</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وفي المقارنة العربية، تتفق نتائج الدراسة مع دراسة الكيتاني التي سجلت انخفاضًا في السكر التراكمي ومقاومة الإنسولين لدى المصابات بعد تطبيق برنامج هوائي مقترح</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وتتميز الدراسة الحالية بإدماج المكوّن المقاوم، الذي أظهرت دراسة نيمان دوره الوسيط في تحسين مقاومة الإنسولين من خلال التغيرات في تكوين الجسم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Niemann et al., 2020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وتتضح هذه الآلية هنا في انخفاض محيط الخصر وتراجع مؤشر كتلة الجسم</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أما التحسن في قوة القبضة، الذي بلغ </w:t>
      </w:r>
      <w:r>
        <w:rPr>
          <w:rFonts w:cs="Traditional Arabic"/>
          <w:b w:val="false"/>
          <w:bCs w:val="false"/>
          <w:i w:val="false"/>
          <w:iCs w:val="false"/>
          <w:color w:val="000000"/>
          <w:sz w:val="32"/>
          <w:szCs w:val="32"/>
        </w:rPr>
        <w:t>16.7</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في المائة، فيُعزى إلى التكيف العصبي العضلي المبكر مع الجرعات المقاومة المتدرجة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وتزداد أهمية هذا التحسن سريريًا لأن قوة القبضة تُعد مؤشرًا تنبؤيًا مستقلًا لجودة الاستقلاب لدى كبار السن</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كذلك، فإن ثبات المجموعة الضابطة خلال الفترة نفسها يقدم دليلًا قويًا على سلامة الاستدلال، إذ يستبعد أن تكون النتائج ناتجة عن التغيرات الطبيعية لدى المرضى أو عن إعادة القياس</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ومع ذلك، تظل للدراسة بعض الحدود التي ينبغي أخذها في الاعتبار عند تفسير نتائجها</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فقد اختيرت العينة قصديًا من عيادة واحدة، مما يحد من إمكانية تعميم النتائج</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كما أن مدة الدراسة، البالغة اثني عشر أسبوعًا، تكفي لرصد التكيفات الحادة والمتوسطة، لكنها لا تحسم مدى استدامتها على المدى الطويل</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ولم تشمل منظومة القياس مؤشرات الوظيفة البطنية أو القياسات الدقيقة لتكوين الجسم، وهي مؤشرات كان يمكن أن تكشف جوانب إضافية من الأثر</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ورغم ذلك، فإن اتساق النتائج مع المرجعيات الدولية والعربية يرجح أن التدريب المدمج قابل للتكرار في البيئات المماثلة، شريطة توافر الإشراف الطبي والحفاظ على الجرعات الدوائية نفسها</w:t>
      </w:r>
      <w:r>
        <w:rPr>
          <w:rFonts w:cs="Traditional Arabic"/>
          <w:b w:val="false"/>
          <w:bCs w:val="false"/>
          <w:i w:val="false"/>
          <w:iCs w:val="false"/>
          <w:color w:val="000000"/>
          <w:sz w:val="32"/>
          <w:szCs w:val="32"/>
          <w:rtl w:val="true"/>
        </w:rPr>
        <w:t>.</w:t>
      </w:r>
    </w:p>
    <w:p>
      <w:pPr>
        <w:pStyle w:val="Heading1"/>
        <w:bidi w:val="1"/>
        <w:spacing w:lineRule="atLeast" w:line="460" w:before="480" w:after="300"/>
        <w:jc w:val="center"/>
        <w:rPr/>
      </w:pPr>
      <w:bookmarkStart w:id="8" w:name="_Toc100009"/>
      <w:r>
        <w:rPr>
          <w:rFonts w:cs="Simplified Arabic" w:ascii="Times New Roman" w:hAnsi="Times New Roman"/>
          <w:b/>
          <w:bCs/>
          <w:i w:val="false"/>
          <w:iCs w:val="false"/>
          <w:color w:val="000000"/>
          <w:sz w:val="36"/>
          <w:szCs w:val="36"/>
        </w:rPr>
        <w:t>5</w:t>
      </w:r>
      <w:r>
        <w:rPr>
          <w:rFonts w:cs="Simplified Arabic" w:ascii="Times New Roman" w:hAnsi="Times New Roman"/>
          <w:b/>
          <w:bCs/>
          <w:i w:val="false"/>
          <w:iCs w:val="false"/>
          <w:color w:val="000000"/>
          <w:sz w:val="36"/>
          <w:szCs w:val="36"/>
          <w:rtl w:val="true"/>
        </w:rPr>
        <w:t xml:space="preserve">. </w:t>
      </w:r>
      <w:r>
        <w:rPr>
          <w:rFonts w:ascii="Times New Roman" w:hAnsi="Times New Roman"/>
          <w:b/>
          <w:b/>
          <w:bCs/>
          <w:i w:val="false"/>
          <w:i w:val="false"/>
          <w:iCs w:val="false"/>
          <w:color w:val="000000"/>
          <w:sz w:val="36"/>
          <w:sz w:val="36"/>
          <w:szCs w:val="36"/>
          <w:rtl w:val="true"/>
        </w:rPr>
        <w:t>الخاتمة</w:t>
      </w:r>
      <w:bookmarkEnd w:id="8"/>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خلصت الدراسة إلى أن برنامجًا تدريبيًا مدمجًا، يجمع بين الجهد الهوائي والجهد العضلي في الحصة نفسها، ويمتد اثني عشر أسبوعًا بواقع ثلاث حصص أسبوعية، يمكن أن يحسن السكر التراكمي والصائم، ومقاومة الإنسولين، والقوة العضلية، ومؤشرات تكوين الجسم لدى مرضى السكري من النمط الثاني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وقد ظهرت هذه التحسينات بفروق ذات دلالة إحصائية وأحجام أثر عملية ذات قيمة سريرية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وأوصت الدراسة بإدماج الحصص المدمجة محددة الجرعة في برامج الرعاية الصحية الأولية، من خلال تنسيق العمل بين الطبيب وأخصائي التدريب، ونشر ثقافة وصف الجرعة التدريبية كتابةً بدل الاكتفاء بالتوصيات العامة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كما دعت إلى إجراء بحوث لاحقة تمدد فترة المتابعة لتقييم استدامة الأثر، وتوسع نطاق العينات لتشمل فئات عمرية ومرضية أكثر تنوعًا، وتضيف مؤشرات الوظيفة البطنية وتكوين الجسم الدقيق إلى منظومة القياس</w:t>
      </w:r>
      <w:r>
        <w:rPr>
          <w:rFonts w:cs="Traditional Arabic"/>
          <w:b w:val="false"/>
          <w:bCs w:val="false"/>
          <w:i w:val="false"/>
          <w:iCs w:val="false"/>
          <w:color w:val="000000"/>
          <w:sz w:val="32"/>
          <w:szCs w:val="32"/>
          <w:rtl w:val="true"/>
        </w:rPr>
        <w:t>.</w:t>
      </w:r>
    </w:p>
    <w:p>
      <w:pPr>
        <w:pStyle w:val="Heading1"/>
        <w:bidi w:val="1"/>
        <w:spacing w:lineRule="atLeast" w:line="460" w:before="480" w:after="300"/>
        <w:jc w:val="center"/>
        <w:rPr/>
      </w:pPr>
      <w:bookmarkStart w:id="9" w:name="_Toc100010"/>
      <w:r>
        <w:rPr>
          <w:rFonts w:ascii="Times New Roman" w:hAnsi="Times New Roman"/>
          <w:b/>
          <w:b/>
          <w:bCs/>
          <w:i w:val="false"/>
          <w:i w:val="false"/>
          <w:iCs w:val="false"/>
          <w:color w:val="000000"/>
          <w:sz w:val="36"/>
          <w:sz w:val="36"/>
          <w:szCs w:val="36"/>
          <w:rtl w:val="true"/>
        </w:rPr>
        <w:t>المراجع</w:t>
      </w:r>
      <w:bookmarkEnd w:id="9"/>
    </w:p>
    <w:p>
      <w:pPr>
        <w:pStyle w:val="Heading2"/>
        <w:bidi w:val="1"/>
        <w:spacing w:lineRule="atLeast" w:line="420" w:before="360" w:after="200"/>
        <w:jc w:val="left"/>
        <w:rPr/>
      </w:pPr>
      <w:bookmarkStart w:id="10" w:name="_Toc100011"/>
      <w:r>
        <w:rPr>
          <w:rFonts w:ascii="Times New Roman" w:hAnsi="Times New Roman"/>
          <w:b/>
          <w:b/>
          <w:bCs/>
          <w:i w:val="false"/>
          <w:i w:val="false"/>
          <w:iCs w:val="false"/>
          <w:color w:val="000000"/>
          <w:sz w:val="32"/>
          <w:sz w:val="32"/>
          <w:szCs w:val="32"/>
          <w:rtl w:val="true"/>
        </w:rPr>
        <w:t>أولًا</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المراجع العربية</w:t>
      </w:r>
      <w:bookmarkEnd w:id="10"/>
    </w:p>
    <w:p>
      <w:pPr>
        <w:pStyle w:val="Normal"/>
        <w:bidi w:val="1"/>
        <w:spacing w:lineRule="atLeast" w:line="340" w:before="0" w:after="100"/>
        <w:ind w:hanging="420" w:left="420"/>
        <w:jc w:val="both"/>
        <w:rPr/>
      </w:pPr>
      <w:r>
        <w:rPr>
          <w:rFonts w:ascii="Times New Roman" w:hAnsi="Times New Roman"/>
          <w:b w:val="false"/>
          <w:b w:val="false"/>
          <w:bCs w:val="false"/>
          <w:i w:val="false"/>
          <w:i w:val="false"/>
          <w:iCs w:val="false"/>
          <w:color w:val="000000"/>
          <w:sz w:val="28"/>
          <w:sz w:val="28"/>
          <w:szCs w:val="28"/>
          <w:rtl w:val="true"/>
        </w:rPr>
        <w:t>الكيتاني، محفوظة</w:t>
      </w:r>
      <w:r>
        <w:rPr>
          <w:rFonts w:cs="Traditional Arabic"/>
          <w:b w:val="false"/>
          <w:bCs w:val="false"/>
          <w:i w:val="false"/>
          <w:iCs w:val="false"/>
          <w:color w:val="000000"/>
          <w:sz w:val="28"/>
          <w:szCs w:val="28"/>
          <w:rtl w:val="true"/>
        </w:rPr>
        <w:t xml:space="preserve">. </w:t>
      </w:r>
      <w:r>
        <w:rPr>
          <w:rFonts w:ascii="Times New Roman" w:hAnsi="Times New Roman"/>
          <w:b w:val="false"/>
          <w:b w:val="false"/>
          <w:bCs w:val="false"/>
          <w:i w:val="false"/>
          <w:i w:val="false"/>
          <w:iCs w:val="false"/>
          <w:color w:val="000000"/>
          <w:sz w:val="28"/>
          <w:sz w:val="28"/>
          <w:szCs w:val="28"/>
          <w:rtl w:val="true"/>
        </w:rPr>
        <w:t>تأثير برنامج تدريبي هوائي مقترح على مستوى السكر التراكمي ومقاومة الإنسولين وبعض المؤشرات المرتبطة لدى المصابات بمرض السكري من النوع الثاني في سلطنة عمان</w:t>
      </w:r>
      <w:r>
        <w:rPr>
          <w:rFonts w:cs="Traditional Arabic"/>
          <w:b w:val="false"/>
          <w:bCs w:val="false"/>
          <w:i w:val="false"/>
          <w:iCs w:val="false"/>
          <w:color w:val="000000"/>
          <w:sz w:val="28"/>
          <w:szCs w:val="28"/>
          <w:rtl w:val="true"/>
        </w:rPr>
        <w:t xml:space="preserve">. </w:t>
      </w:r>
      <w:r>
        <w:rPr>
          <w:rFonts w:ascii="Times New Roman" w:hAnsi="Times New Roman"/>
          <w:b w:val="false"/>
          <w:b w:val="false"/>
          <w:bCs w:val="false"/>
          <w:i w:val="false"/>
          <w:i w:val="false"/>
          <w:iCs w:val="false"/>
          <w:color w:val="000000"/>
          <w:sz w:val="28"/>
          <w:sz w:val="28"/>
          <w:szCs w:val="28"/>
          <w:rtl w:val="true"/>
        </w:rPr>
        <w:t xml:space="preserve">قاعدة بيانات دار المنظومة </w:t>
      </w:r>
      <w:r>
        <w:rPr>
          <w:rFonts w:cs="Traditional Arabic"/>
          <w:b w:val="false"/>
          <w:bCs w:val="false"/>
          <w:i w:val="false"/>
          <w:iCs w:val="false"/>
          <w:color w:val="000000"/>
          <w:sz w:val="28"/>
          <w:szCs w:val="28"/>
          <w:rtl w:val="true"/>
        </w:rPr>
        <w:t>(</w:t>
      </w:r>
      <w:r>
        <w:rPr>
          <w:rFonts w:ascii="Times New Roman" w:hAnsi="Times New Roman"/>
          <w:b w:val="false"/>
          <w:b w:val="false"/>
          <w:bCs w:val="false"/>
          <w:i w:val="false"/>
          <w:i w:val="false"/>
          <w:iCs w:val="false"/>
          <w:color w:val="000000"/>
          <w:sz w:val="28"/>
          <w:sz w:val="28"/>
          <w:szCs w:val="28"/>
          <w:rtl w:val="true"/>
        </w:rPr>
        <w:t>المنهل</w:t>
      </w:r>
      <w:r>
        <w:rPr>
          <w:rFonts w:cs="Traditional Arabic"/>
          <w:b w:val="false"/>
          <w:bCs w:val="false"/>
          <w:i w:val="false"/>
          <w:iCs w:val="false"/>
          <w:color w:val="000000"/>
          <w:sz w:val="28"/>
          <w:szCs w:val="28"/>
          <w:rtl w:val="true"/>
        </w:rPr>
        <w:t>)</w:t>
      </w:r>
      <w:r>
        <w:rPr>
          <w:rFonts w:ascii="Times New Roman" w:hAnsi="Times New Roman"/>
          <w:b w:val="false"/>
          <w:b w:val="false"/>
          <w:bCs w:val="false"/>
          <w:i w:val="false"/>
          <w:i w:val="false"/>
          <w:iCs w:val="false"/>
          <w:color w:val="000000"/>
          <w:sz w:val="28"/>
          <w:sz w:val="28"/>
          <w:szCs w:val="28"/>
          <w:rtl w:val="true"/>
        </w:rPr>
        <w:t>، متاح على الرابط</w:t>
      </w:r>
      <w:r>
        <w:rPr>
          <w:rFonts w:cs="Traditional Arabic"/>
          <w:b w:val="false"/>
          <w:bCs w:val="false"/>
          <w:i w:val="false"/>
          <w:iCs w:val="false"/>
          <w:color w:val="000000"/>
          <w:sz w:val="28"/>
          <w:szCs w:val="28"/>
          <w:rtl w:val="true"/>
        </w:rPr>
        <w:t xml:space="preserve">: </w:t>
      </w:r>
      <w:r>
        <w:rPr>
          <w:rFonts w:cs="Traditional Arabic"/>
          <w:b w:val="false"/>
          <w:bCs w:val="false"/>
          <w:i w:val="false"/>
          <w:iCs w:val="false"/>
          <w:color w:val="000000"/>
          <w:sz w:val="28"/>
          <w:szCs w:val="28"/>
        </w:rPr>
        <w:t>search.mandumah.com</w:t>
      </w:r>
      <w:r>
        <w:rPr>
          <w:rFonts w:cs="Traditional Arabic"/>
          <w:b w:val="false"/>
          <w:bCs w:val="false"/>
          <w:i w:val="false"/>
          <w:iCs w:val="false"/>
          <w:color w:val="000000"/>
          <w:sz w:val="28"/>
          <w:szCs w:val="28"/>
          <w:rtl w:val="true"/>
        </w:rPr>
        <w:t>.</w:t>
      </w:r>
    </w:p>
    <w:p>
      <w:pPr>
        <w:pStyle w:val="Normal"/>
        <w:bidi w:val="1"/>
        <w:spacing w:lineRule="atLeast" w:line="340" w:before="0" w:after="100"/>
        <w:ind w:hanging="420" w:left="420"/>
        <w:jc w:val="both"/>
        <w:rPr/>
      </w:pPr>
      <w:r>
        <w:rPr>
          <w:rFonts w:ascii="Times New Roman" w:hAnsi="Times New Roman"/>
          <w:b w:val="false"/>
          <w:b w:val="false"/>
          <w:bCs w:val="false"/>
          <w:i w:val="false"/>
          <w:i w:val="false"/>
          <w:iCs w:val="false"/>
          <w:color w:val="000000"/>
          <w:sz w:val="28"/>
          <w:sz w:val="28"/>
          <w:szCs w:val="28"/>
          <w:rtl w:val="true"/>
        </w:rPr>
        <w:t>دراسة تأثير البرنامج الترويحي في تنظيم سكر الدم والأنسولين للمرضى المصابين بمرض السكري من النوع الثاني</w:t>
      </w:r>
      <w:r>
        <w:rPr>
          <w:rFonts w:cs="Traditional Arabic"/>
          <w:b w:val="false"/>
          <w:bCs w:val="false"/>
          <w:i w:val="false"/>
          <w:iCs w:val="false"/>
          <w:color w:val="000000"/>
          <w:sz w:val="28"/>
          <w:szCs w:val="28"/>
          <w:rtl w:val="true"/>
        </w:rPr>
        <w:t xml:space="preserve">. </w:t>
      </w:r>
      <w:r>
        <w:rPr>
          <w:rFonts w:ascii="Times New Roman" w:hAnsi="Times New Roman"/>
          <w:b w:val="false"/>
          <w:b w:val="false"/>
          <w:bCs w:val="false"/>
          <w:i w:val="false"/>
          <w:i w:val="false"/>
          <w:iCs w:val="false"/>
          <w:color w:val="000000"/>
          <w:sz w:val="28"/>
          <w:sz w:val="28"/>
          <w:szCs w:val="28"/>
          <w:rtl w:val="true"/>
        </w:rPr>
        <w:t xml:space="preserve">موقع المتميز للعلوم والتقنية </w:t>
      </w:r>
      <w:r>
        <w:rPr>
          <w:rFonts w:cs="Traditional Arabic"/>
          <w:b w:val="false"/>
          <w:bCs w:val="false"/>
          <w:i w:val="false"/>
          <w:iCs w:val="false"/>
          <w:color w:val="000000"/>
          <w:sz w:val="28"/>
          <w:szCs w:val="28"/>
          <w:rtl w:val="true"/>
        </w:rPr>
        <w:t>(</w:t>
      </w:r>
      <w:r>
        <w:rPr>
          <w:rFonts w:cs="Traditional Arabic"/>
          <w:b w:val="false"/>
          <w:bCs w:val="false"/>
          <w:i w:val="false"/>
          <w:iCs w:val="false"/>
          <w:color w:val="000000"/>
          <w:sz w:val="28"/>
          <w:szCs w:val="28"/>
        </w:rPr>
        <w:t>mobt3ath.com</w:t>
      </w:r>
      <w:r>
        <w:rPr>
          <w:rFonts w:cs="Traditional Arabic"/>
          <w:b w:val="false"/>
          <w:bCs w:val="false"/>
          <w:i w:val="false"/>
          <w:iCs w:val="false"/>
          <w:color w:val="000000"/>
          <w:sz w:val="28"/>
          <w:szCs w:val="28"/>
          <w:rtl w:val="true"/>
        </w:rPr>
        <w:t>)</w:t>
      </w:r>
      <w:r>
        <w:rPr>
          <w:rFonts w:ascii="Times New Roman" w:hAnsi="Times New Roman"/>
          <w:b w:val="false"/>
          <w:b w:val="false"/>
          <w:bCs w:val="false"/>
          <w:i w:val="false"/>
          <w:i w:val="false"/>
          <w:iCs w:val="false"/>
          <w:color w:val="000000"/>
          <w:sz w:val="28"/>
          <w:sz w:val="28"/>
          <w:szCs w:val="28"/>
          <w:rtl w:val="true"/>
        </w:rPr>
        <w:t>، متاح على الرابط</w:t>
      </w:r>
      <w:r>
        <w:rPr>
          <w:rFonts w:cs="Traditional Arabic"/>
          <w:b w:val="false"/>
          <w:bCs w:val="false"/>
          <w:i w:val="false"/>
          <w:iCs w:val="false"/>
          <w:color w:val="000000"/>
          <w:sz w:val="28"/>
          <w:szCs w:val="28"/>
          <w:rtl w:val="true"/>
        </w:rPr>
        <w:t xml:space="preserve">: </w:t>
      </w:r>
      <w:r>
        <w:rPr>
          <w:rFonts w:cs="Traditional Arabic"/>
          <w:b w:val="false"/>
          <w:bCs w:val="false"/>
          <w:i w:val="false"/>
          <w:iCs w:val="false"/>
          <w:color w:val="000000"/>
          <w:sz w:val="28"/>
          <w:szCs w:val="28"/>
        </w:rPr>
        <w:t>www.mobt3ath.com</w:t>
      </w:r>
      <w:r>
        <w:rPr>
          <w:rFonts w:cs="Traditional Arabic"/>
          <w:b w:val="false"/>
          <w:bCs w:val="false"/>
          <w:i w:val="false"/>
          <w:iCs w:val="false"/>
          <w:color w:val="000000"/>
          <w:sz w:val="28"/>
          <w:szCs w:val="28"/>
          <w:rtl w:val="true"/>
        </w:rPr>
        <w:t>.</w:t>
      </w:r>
    </w:p>
    <w:p>
      <w:pPr>
        <w:pStyle w:val="Heading2"/>
        <w:bidi w:val="1"/>
        <w:spacing w:lineRule="atLeast" w:line="420" w:before="360" w:after="200"/>
        <w:jc w:val="left"/>
        <w:rPr/>
      </w:pPr>
      <w:bookmarkStart w:id="11" w:name="_Toc100012"/>
      <w:r>
        <w:rPr>
          <w:rFonts w:ascii="Times New Roman" w:hAnsi="Times New Roman"/>
          <w:b/>
          <w:b/>
          <w:bCs/>
          <w:i w:val="false"/>
          <w:i w:val="false"/>
          <w:iCs w:val="false"/>
          <w:color w:val="000000"/>
          <w:sz w:val="32"/>
          <w:sz w:val="32"/>
          <w:szCs w:val="32"/>
          <w:rtl w:val="true"/>
        </w:rPr>
        <w:t>ثانيًا</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المراجع الأجنبية</w:t>
      </w:r>
      <w:bookmarkEnd w:id="11"/>
    </w:p>
    <w:p>
      <w:pPr>
        <w:pStyle w:val="Normal"/>
        <w:spacing w:lineRule="atLeast" w:line="300" w:before="0" w:after="100"/>
        <w:ind w:hanging="420" w:left="420"/>
        <w:jc w:val="left"/>
        <w:rPr/>
      </w:pPr>
      <w:r>
        <w:rPr>
          <w:rFonts w:cs="Traditional Arabic"/>
          <w:b w:val="false"/>
          <w:bCs w:val="false"/>
          <w:i w:val="false"/>
          <w:iCs w:val="false"/>
          <w:color w:val="000000"/>
          <w:sz w:val="24"/>
          <w:szCs w:val="24"/>
        </w:rPr>
        <w:t>Colberg, S. R., Sigal, R. J., Fernhall, B., Regensteiner, J. G., Blissmer, B. J., Rubin, R. R., et al. (2010). Exercise and type 2 diabetes: The American College of Sports Medicine and the American Diabetes Association joint position statement. Diabetes Care, 33(7), e147-e167.</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Diabetes Prevention Program Research Group. (2002). Reduction in the incidence of type 2 diabetes with lifestyle intervention or metformin. New England Journal of Medicine, 346(6), 393-403.</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Hungerford, K. (2024). The effects of exercise on diabetes mellitus type 2. University of Wyoming — Wyoscholar Institutional Repository. Available at: wyoscholar.uwyo.edu.</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Holten, M. K., Zacho, M., Gaster, M., Juel, C., Wojtaszewski, J. F. P., &amp; Dela, F. (2004). Strength training increases insulin-mediated glucose uptake, GLUT4 content, and insulin signaling in skeletal muscle in patients with type 2 diabetes. Diabetes, 53(2), 294-304.</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Kanaley, J. A., Colberg, S. R., Corcoran, M. H., Malin, S. K., Rodriguez, A. C., Crespo, C. J., et al. (2016). Exercise/physical activity in individuals with type 2 diabetes: A position statement of the American Diabetes Association. Diabetes Care, 39(11), 2065-2079.</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Look AHEAD Research Group. (2013). Cardiovascular effects of intensive lifestyle intervention in type 2 diabetes. New England Journal of Medicine, 369(2), 145-154.</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Niemann, M. K. J., et al. (2020). Strength training and insulin resistance: The mediating role of body composition. Journal of Physical Activity and Health, 17(9). Available via PubMed.</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Ramezani, S., et al. (2023). The effect of different types of exercise on indicators related to blood sugar control. Feyz Medical Sciences Journal, Kashan University of Medical Sciences. Available at: feyz.kaums.ac.ir.</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Siregar, A. S., et al. (2025). The effect of physical exercise on blood glucose levels, HbA1c, and blood glucose variability in patients with type 2 diabetes: A quantitative analysis. Journal of Prima University. Available at: jurnal.unprimdn.ac.id.</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The Impact of Resistance Exercise Training on Glycemic Control in Type 2 Diabetes. (2026). ResearchGate Publication. Available at: www.researchgate.net.</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Umpierre, D., Ribeiro, P. A. B., Kramer, C. K., Leitao, C. B., Zucatti, A. T. N., Azevedo, M. J., et al. (2011). Physical activity advice only or structured exercise training and association with HbA1c levels in type 2 diabetes: A systematic review and meta-analysis. JAMA, 305(17), 1790-1799.</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Wang, W., et al. (2021). The effect of physical exercise on blood sugar control in diabetic patients. SciELO Scientific Electronic Library. Available at: www.scielo.br.</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Zahalka, S. J., et al. (2025). The role of exercise in diabetes. In: Feingold, K. R., et al. (Eds.), Endotext. South Dartmouth, MA: MDText.com, Inc. (NCBI Bookshelf). Available at: www.endotext.org.</w:t>
      </w:r>
    </w:p>
    <w:sectPr>
      <w:headerReference w:type="default" r:id="rId4"/>
      <w:headerReference w:type="first" r:id="rId5"/>
      <w:footerReference w:type="default" r:id="rId6"/>
      <w:footerReference w:type="first" r:id="rId7"/>
      <w:type w:val="nextPage"/>
      <w:pgSz w:w="11906" w:h="16838"/>
      <w:pgMar w:left="1701" w:right="1417" w:gutter="0" w:header="850" w:top="1440" w:footer="992" w:bottom="1440"/>
      <w:pgNumType w:start="1" w:fmt="decimal"/>
      <w:formProt w:val="false"/>
      <w:textDirection w:val="lrTb"/>
      <w:bidi/>
      <w:docGrid w:type="default" w:linePitch="360" w:charSpace="4294950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300"/>
      <w:jc w:val="center"/>
      <w:rPr/>
    </w:pPr>
    <w:r>
      <w:rPr>
        <w:sz w:val="21"/>
        <w:szCs w:val="21"/>
      </w:rPr>
      <w:t xml:space="preserve">- </w:t>
    </w:r>
    <w:r>
      <w:rPr/>
      <w:fldChar w:fldCharType="begin"/>
    </w:r>
    <w:r>
      <w:rPr/>
      <w:instrText xml:space="preserve"> PAGE \* ROMAN </w:instrText>
    </w:r>
    <w:r>
      <w:rPr/>
      <w:fldChar w:fldCharType="separate"/>
    </w:r>
    <w:r>
      <w:rPr/>
      <w:t>III</w:t>
    </w:r>
    <w:r>
      <w:rPr/>
      <w:fldChar w:fldCharType="end"/>
    </w:r>
    <w:r>
      <w:rPr>
        <w:sz w:val="21"/>
        <w:szCs w:val="21"/>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300"/>
      <w:jc w:val="center"/>
      <w:rPr/>
    </w:pPr>
    <w:r>
      <w:rPr>
        <w:sz w:val="22"/>
        <w:szCs w:val="22"/>
      </w:rPr>
      <w:t xml:space="preserve">- </w:t>
    </w:r>
    <w:r>
      <w:rPr/>
      <w:fldChar w:fldCharType="begin"/>
    </w:r>
    <w:r>
      <w:rPr/>
      <w:instrText xml:space="preserve"> PAGE </w:instrText>
    </w:r>
    <w:r>
      <w:rPr/>
      <w:fldChar w:fldCharType="separate"/>
    </w:r>
    <w:r>
      <w:rPr/>
      <w:t>8</w:t>
    </w:r>
    <w:r>
      <w:rPr/>
      <w:fldChar w:fldCharType="end"/>
    </w:r>
    <w:r>
      <w:rPr>
        <w:sz w:val="22"/>
        <w:szCs w:val="22"/>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000000"/>
      </w:pBdr>
      <w:bidi w:val="1"/>
      <w:spacing w:lineRule="atLeast" w:line="300"/>
      <w:jc w:val="center"/>
      <w:rPr/>
    </w:pPr>
    <w:r>
      <w:rPr>
        <w:rFonts w:ascii="Times New Roman" w:hAnsi="Times New Roman"/>
        <w:b w:val="false"/>
        <w:b w:val="false"/>
        <w:bCs w:val="false"/>
        <w:i w:val="false"/>
        <w:i w:val="false"/>
        <w:iCs w:val="false"/>
        <w:color w:val="333333"/>
        <w:sz w:val="18"/>
        <w:sz w:val="18"/>
        <w:szCs w:val="18"/>
        <w:rtl w:val="true"/>
      </w:rPr>
      <w:t>تأثير الجهد البدني والعضلي على مرضى السكري</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000000"/>
      </w:pBdr>
      <w:bidi w:val="1"/>
      <w:spacing w:lineRule="atLeast" w:line="300"/>
      <w:jc w:val="center"/>
      <w:rPr/>
    </w:pPr>
    <w:r>
      <w:rPr>
        <w:rFonts w:ascii="Times New Roman" w:hAnsi="Times New Roman"/>
        <w:b w:val="false"/>
        <w:b w:val="false"/>
        <w:bCs w:val="false"/>
        <w:i w:val="false"/>
        <w:i w:val="false"/>
        <w:iCs w:val="false"/>
        <w:color w:val="333333"/>
        <w:sz w:val="18"/>
        <w:sz w:val="18"/>
        <w:szCs w:val="18"/>
        <w:rtl w:val="true"/>
      </w:rPr>
      <w:t>تأثير الجهد البدني والعضلي على مرضى السكري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Traditional Arabic"/>
        <w:color w:val="000000"/>
        <w:sz w:val="32"/>
        <w:szCs w:val="32"/>
        <w:lang w:val="en-US" w:eastAsia="zh-CN" w:bidi="ar-SY"/>
      </w:rPr>
    </w:rPrDefault>
    <w:pPrDefault>
      <w:pPr>
        <w:suppressAutoHyphens w:val="true"/>
        <w:jc w:val="left"/>
      </w:pPr>
    </w:pPrDefault>
  </w:docDefaults>
  <w:style w:type="paragraph" w:styleId="Normal">
    <w:name w:val="Normal"/>
    <w:qFormat/>
    <w:pPr>
      <w:widowControl/>
      <w:bidi w:val="0"/>
      <w:spacing w:lineRule="exact" w:line="360" w:before="0" w:after="0"/>
      <w:jc w:val="right"/>
    </w:pPr>
    <w:rPr>
      <w:rFonts w:ascii="Times New Roman" w:hAnsi="Times New Roman" w:eastAsia="Noto Serif CJK SC" w:cs="Traditional Arabic"/>
      <w:color w:val="000000"/>
      <w:kern w:val="0"/>
      <w:sz w:val="32"/>
      <w:szCs w:val="32"/>
      <w:lang w:val="en-US" w:eastAsia="zh-CN" w:bidi="ar-SY"/>
    </w:rPr>
  </w:style>
  <w:style w:type="paragraph" w:styleId="Heading1">
    <w:name w:val="Heading 1"/>
    <w:basedOn w:val="Style11"/>
    <w:qFormat/>
    <w:pPr>
      <w:spacing w:lineRule="exact" w:line="460" w:before="480" w:after="300"/>
      <w:outlineLvl w:val="0"/>
    </w:pPr>
    <w:rPr>
      <w:rFonts w:ascii="Times New Roman" w:hAnsi="Times New Roman" w:cs="Simplified Arabic"/>
      <w:b/>
      <w:bCs/>
      <w:color w:val="000000"/>
      <w:sz w:val="36"/>
      <w:szCs w:val="36"/>
    </w:rPr>
  </w:style>
  <w:style w:type="paragraph" w:styleId="Heading2">
    <w:name w:val="Heading 2"/>
    <w:basedOn w:val="Style11"/>
    <w:qFormat/>
    <w:pPr>
      <w:spacing w:lineRule="exact" w:line="420" w:before="360" w:after="200"/>
      <w:outlineLvl w:val="1"/>
    </w:pPr>
    <w:rPr>
      <w:rFonts w:ascii="Times New Roman" w:hAnsi="Times New Roman" w:cs="Simplified Arabic"/>
      <w:b/>
      <w:bCs/>
      <w:color w:val="000000"/>
      <w:sz w:val="32"/>
      <w:szCs w:val="32"/>
    </w:rPr>
  </w:style>
  <w:style w:type="paragraph" w:styleId="Heading3">
    <w:name w:val="Heading 3"/>
    <w:basedOn w:val="Style11"/>
    <w:qFormat/>
    <w:pPr>
      <w:spacing w:lineRule="exact" w:line="400" w:before="240" w:after="160"/>
      <w:outlineLvl w:val="2"/>
    </w:pPr>
    <w:rPr>
      <w:rFonts w:ascii="Times New Roman" w:hAnsi="Times New Roman" w:cs="Simplified Arabic"/>
      <w:b/>
      <w:bCs/>
      <w:color w:val="000000"/>
      <w:sz w:val="30"/>
      <w:szCs w:val="30"/>
    </w:rPr>
  </w:style>
  <w:style w:type="paragraph" w:styleId="Heading4">
    <w:name w:val="Heading 4"/>
    <w:basedOn w:val="Style11"/>
    <w:qFormat/>
    <w:pPr>
      <w:outlineLvl w:val="3"/>
    </w:pPr>
    <w:rPr>
      <w:i/>
      <w:iCs/>
      <w:color w:val="2E74B5"/>
    </w:rPr>
  </w:style>
  <w:style w:type="paragraph" w:styleId="Heading5">
    <w:name w:val="Heading 5"/>
    <w:basedOn w:val="Style11"/>
    <w:qFormat/>
    <w:pPr>
      <w:outlineLvl w:val="4"/>
    </w:pPr>
    <w:rPr>
      <w:color w:val="2E74B5"/>
    </w:rPr>
  </w:style>
  <w:style w:type="paragraph" w:styleId="Heading6">
    <w:name w:val="Heading 6"/>
    <w:basedOn w:val="Style11"/>
    <w:qFormat/>
    <w:pPr>
      <w:outlineLvl w:val="5"/>
    </w:pPr>
    <w:rPr>
      <w:color w:val="1F4D78"/>
    </w:rPr>
  </w:style>
  <w:style w:type="character" w:styleId="Hyperlink">
    <w:name w:val="Hyperlink"/>
    <w:uiPriority w:val="99"/>
    <w:unhideWhenUsed/>
    <w:rPr>
      <w:color w:val="0563C1"/>
      <w:u w:val="single"/>
    </w:rPr>
  </w:style>
  <w:style w:type="character" w:styleId="Style8">
    <w:name w:val="محارف الحواشي"/>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أحرف التعليق الختامي"/>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yle10">
    <w:name w:val="وصلة فهرس"/>
    <w:qFormat/>
    <w:rPr/>
  </w:style>
  <w:style w:type="paragraph" w:styleId="Style11">
    <w:name w:val="عنوان رئيسي"/>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Style12">
    <w:name w:val="فهرس"/>
    <w:basedOn w:val="Normal"/>
    <w:qFormat/>
    <w:pPr>
      <w:suppressLineNumbers/>
    </w:pPr>
    <w:rPr>
      <w:rFonts w:cs="DejaVu Sans"/>
    </w:rPr>
  </w:style>
  <w:style w:type="paragraph" w:styleId="Title">
    <w:name w:val="Title"/>
    <w:basedOn w:val="Style11"/>
    <w:qFormat/>
    <w:pPr/>
    <w:rPr>
      <w:sz w:val="56"/>
      <w:szCs w:val="56"/>
    </w:rPr>
  </w:style>
  <w:style w:type="paragraph" w:styleId="StrongEmphasis">
    <w:name w:val="Strong Emphasis"/>
    <w:qFormat/>
    <w:pPr>
      <w:widowControl/>
      <w:bidi w:val="0"/>
      <w:spacing w:lineRule="exact" w:line="360" w:before="0" w:after="0"/>
      <w:jc w:val="left"/>
    </w:pPr>
    <w:rPr>
      <w:rFonts w:ascii="Times New Roman" w:hAnsi="Times New Roman" w:eastAsia="Noto Serif CJK SC" w:cs="Traditional Arabic"/>
      <w:b/>
      <w:bCs/>
      <w:color w:val="000000"/>
      <w:kern w:val="0"/>
      <w:sz w:val="32"/>
      <w:szCs w:val="32"/>
      <w:lang w:val="en-US" w:eastAsia="zh-CN" w:bidi="ar-SY"/>
    </w:rPr>
  </w:style>
  <w:style w:type="paragraph" w:styleId="ListParagraph">
    <w:name w:val="List Paragraph"/>
    <w:qFormat/>
    <w:pPr>
      <w:widowControl/>
      <w:bidi w:val="0"/>
      <w:spacing w:lineRule="exact" w:line="360" w:before="0" w:after="0"/>
      <w:jc w:val="left"/>
    </w:pPr>
    <w:rPr>
      <w:rFonts w:ascii="Times New Roman" w:hAnsi="Times New Roman" w:eastAsia="Noto Serif CJK SC" w:cs="Traditional Arabic"/>
      <w:color w:val="000000"/>
      <w:kern w:val="0"/>
      <w:sz w:val="32"/>
      <w:szCs w:val="32"/>
      <w:lang w:val="en-US" w:eastAsia="zh-CN" w:bidi="ar-SY"/>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Style12"/>
    <w:uiPriority w:val="39"/>
    <w:pPr>
      <w:tabs>
        <w:tab w:val="clear" w:pos="720"/>
        <w:tab w:val="right" w:pos="9026" w:leader="dot"/>
      </w:tabs>
      <w:bidi w:val="1"/>
      <w:spacing w:before="120" w:after="60"/>
      <w:jc w:val="left"/>
    </w:pPr>
    <w:rPr>
      <w:b/>
      <w:bCs/>
    </w:rPr>
  </w:style>
  <w:style w:type="paragraph" w:styleId="TOC2">
    <w:name w:val="TOC 2"/>
    <w:basedOn w:val="Style12"/>
    <w:uiPriority w:val="39"/>
    <w:pPr>
      <w:tabs>
        <w:tab w:val="clear" w:pos="720"/>
        <w:tab w:val="right" w:pos="9026" w:leader="dot"/>
      </w:tabs>
      <w:bidi w:val="1"/>
      <w:spacing w:before="60" w:after="40"/>
      <w:ind w:left="360"/>
      <w:jc w:val="left"/>
    </w:pPr>
    <w:rPr/>
  </w:style>
  <w:style w:type="paragraph" w:styleId="TOC3">
    <w:name w:val="TOC 3"/>
    <w:basedOn w:val="Style12"/>
    <w:uiPriority w:val="39"/>
    <w:pPr>
      <w:tabs>
        <w:tab w:val="clear" w:pos="720"/>
        <w:tab w:val="right" w:pos="9026" w:leader="dot"/>
      </w:tabs>
      <w:bidi w:val="1"/>
      <w:spacing w:before="40" w:after="20"/>
      <w:ind w:left="720"/>
      <w:jc w:val="lef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14</Pages>
  <Words>2635</Words>
  <Characters>13682</Characters>
  <CharactersWithSpaces>16198</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2026-10-02T06:45:37Z</dcterms:created>
  <dc:creator>ريهام سعيد</dc:creator>
  <dc:description/>
  <dc:language>ar-SY</dc:language>
  <cp:lastModifiedBy/>
  <dcterms:modified xsi:type="dcterms:W3CDTF">2026-10-02T12:43:46Z</dcterms:modified>
  <cp:revision>2</cp:revision>
  <dc:subject/>
  <dc:title>تأثير الجهد البدني والعضلي على مرضى السكري – ريهام سعيد</dc:title>
</cp:coreProperties>
</file>