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【اسم الجامعة】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كلية التربية الرياضية – قسم 【اسم القسم】</w:t>
      </w:r>
    </w:p>
    <w:p>
      <w:pPr>
        <w:bidi/>
        <w:spacing w:after="700" w:line="420" w:lineRule="atLeast"/>
        <w:jc w:val="center"/>
      </w:pPr>
      <w:r>
        <w:rPr>
          <w:rFonts w:ascii="Times New Roman" w:cs="Simplified Arabic" w:hAnsi="Times New Roman"/>
          <w:b/>
          <w:bCs/>
          <w:i w:val="false"/>
          <w:iCs w:val="false"/>
          <w:color w:val="000000"/>
          <w:sz w:val="34"/>
          <w:szCs w:val="34"/>
          <w:rtl/>
        </w:rPr>
        <w:t xml:space="preserve">دليل اختيار صيغة عرض الأطروحة والمراجع العلمية</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دليل النماذج المقارن للخطة البحثية</w:t>
      </w:r>
    </w:p>
    <w:p>
      <w:pPr>
        <w:bidi/>
        <w:spacing w:after="200" w:line="500" w:lineRule="atLeast"/>
        <w:jc w:val="center"/>
      </w:pPr>
      <w:r>
        <w:rPr>
          <w:rFonts w:ascii="Times New Roman" w:cs="Simplified Arabic" w:hAnsi="Times New Roman"/>
          <w:b/>
          <w:bCs/>
          <w:i w:val="false"/>
          <w:iCs w:val="false"/>
          <w:color w:val="000000"/>
          <w:sz w:val="40"/>
          <w:szCs w:val="40"/>
          <w:rtl/>
        </w:rPr>
        <w:t xml:space="preserve">وأطروحة التخرج</w:t>
      </w:r>
    </w:p>
    <w:p>
      <w:pPr>
        <w:spacing w:after="700" w:line="320" w:lineRule="atLeast"/>
        <w:jc w:val="center"/>
      </w:pPr>
      <w:r>
        <w:rPr>
          <w:rFonts w:ascii="Times New Roman" w:cs="Traditional Arabic" w:hAnsi="Times New Roman"/>
          <w:b w:val="false"/>
          <w:bCs w:val="false"/>
          <w:i/>
          <w:iCs/>
          <w:color w:val="000000"/>
          <w:sz w:val="24"/>
          <w:szCs w:val="24"/>
        </w:rPr>
        <w:t xml:space="preserve">A Comparative Guide to Thesis Structure Models and References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الطالب】</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المشرف】</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 / 20】</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【الشهر والسنة】</w:t>
      </w:r>
    </w:p>
    <w:p>
      <w:pPr>
        <w:sectPr>
          <w:pgSz w:w="11906" w:h="16838" w:orient="portrait"/>
          <w:pgMar w:top="1440" w:right="1417" w:bottom="1440" w:left="1701" w:header="850" w:footer="992" w:gutter="0"/>
          <w:docGrid w:linePitch="360"/>
        </w:sectPr>
      </w:pP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أولًا: نظرة عامة على هذا الدليل</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ثانيًا: خلاصة أبرز ما كشفته الدراسات حول موضوعك</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ثالثًا: مقارنة النماذج الأربعة المتاحة</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رابعًا: إرشادات عملية لاختيار النموذج المناسب</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 راجع متطلبات قسمنا أولًا</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 حدد موقعك الحالي من مراحل البحث</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 فكر في مستقبل النشر العلمي</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خامسًا: قواعد البيانات والمواقع العلمية للتوسع</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سادسًا: المراجع العلمية الكاملة</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أولًا: المراجع العربية</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ثانيًا: المراجع الأجنبية</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سابعًا: ملاحظات منهجية وأخلاقية مهمة</w:t>
            </w:r>
            <w:r>
              <w:tab/>
            </w:r>
            <w:r>
              <w:fldChar w:fldCharType="begin"/>
            </w:r>
            <w:r>
              <w:instrText xml:space="preserve"> PAGEREF _Toc100011 \h </w:instrText>
            </w:r>
            <w:r>
              <w:fldChar w:fldCharType="separate"/>
            </w:r>
            <w:r>
              <w:t>7</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على الملف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أولًا: نظرة عامة على هذا الدليل</w:t>
      </w:r>
      <w:bookmarkEnd w:id="10000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أُعد هذا الدليل لخدمة هدف محدد وهو تمكينك من اختيار الصيغة الأنسب لعرض أطروحتك بعنوان «تأثير الجهد البدني والعضلي على مرضى السكري» دون بقاء كثير من الوقت في البحث عن الشكل المناسب. وقد اعتمد إعداد الدليل على مسح بحثي في قواعد البيانات والمواقع العلمية المتخصصة، تضمن دراسات عربية وإنجليزية محكمة نُشرت بين عامي 2002 و2025. وخلال هذا المسح جرى جمع خمسة عشر مرجعًا حقيقيًا قابلاً للتحقق، مع توثيق روابط مصادرها الأصلية.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يقدم الدليل أربعة نماذج جاهزة للاستخدام، كل نموذج منها ملف مستقل ومكتمل المحتوى وليس مجرد هيكل فارغ من العناوين. فقد كُتبت لكل نموذج مقدمة فعلية ومشكلة بحثية وتساؤلات وفرضيات ومنهجية ومراجع، بحيث تستطيع بعد اختيارك للنموذج المناسب أن تعمل عليه مباشرة وتستبدل بيانات الغلاف الخاصة ثم تطور المحتوى وفق توجيهات مشرفك. وفي نهاية هذا الدليل تجد جدول مقارنة شامل وإرشادات عملية لاتخاذ القرار، إضافة إلى قائمة كاملة بالمراجع وقواعد البيانات التي يمكنك التوسع منها.</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نؤكد منذ البداية أن كافة المراجع المدرجة في هذه الحزمة حقيقية وتم جمعها من مواقع البحث العلمي، وأن الدراسات المحورية مثل دراسة برنامج الوقاية من السكري ومن بيان الجمعية الأمريكية للسكري حول التمارين تشكل أساسًا متينًا لأي إطار نظري يتعلق بموضوعك. أما الأرقام الواردة في النماذج فهي مستمدة من هذه الدراسات المنشورة، وكل بيانات لم يُجمع بعد في تجربتك تُركت كخلايا محددة بعلامة قابلة للاستبدال.</w:t>
      </w:r>
    </w:p>
    <w:p>
      <w:pPr>
        <w:pStyle w:val="Heading1"/>
        <w:bidi/>
        <w:spacing w:after="300" w:before="480" w:line="460" w:lineRule="atLeast"/>
        <w:jc w:val="center"/>
      </w:pPr>
      <w:bookmarkStart w:id="100001" w:name="_Toc100001"/>
      <w:r>
        <w:rPr>
          <w:rFonts w:ascii="Times New Roman" w:cs="Simplified Arabic" w:hAnsi="Times New Roman"/>
          <w:b/>
          <w:bCs/>
          <w:i w:val="false"/>
          <w:iCs w:val="false"/>
          <w:color w:val="000000"/>
          <w:sz w:val="36"/>
          <w:szCs w:val="36"/>
          <w:rtl/>
        </w:rPr>
        <w:t xml:space="preserve">ثانيًا: خلاصة أبرز ما كشفته الدراسات حول موضوعك</w:t>
      </w:r>
      <w:bookmarkEnd w:id="10000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تشير الأدلة العلمية المتراكمة خلال العقدين الأخيرين إلى أن التدخل الحياتي القائم على النشاط البدني يعد من أقوى الوسائل غير الدوائية في الوقاية من سكري النوع الثاني والسيطرة عليه. ففي دراسة برنامج الوقاية من السكري الشهيرة التي نُشرت في مجلة نيو إنغلاند الطبية عام 2002، أدى نمط الحياة الصحي المتمثل في ممارسة نشاط بدني منتظم مع تعديل الغذاء إلى خفض معدلات الإصابة بالسكري بنسبة 58 في المائة، متجاوزًا أثر دواء الميتفورمين الذي بلغت نسبته 31 في المائة. وقد أصبحت هذه النتيجة حجر الأساس في كل التوصيات الحديثة للنشاط البدني لدى مرضى السكري.</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وعلى مستوى الآلية الفسيولوجية، أوضحت دراسة هولتن وزملائه المنشورة في دورية السكري عام 2004 أن التدريب على المقاومة العضلية يرفع من نقل الجلوكوز بوساطة الإنسولين داخل العضلات الهيكلية لدى مرضى السكري من النوع الثاني، وذلك بزيادة محتوى ناقل الجلوكوز GLUT4 وتنشيط إشارات الإنسولين الخلوية. وهذا يعني أن الجهد العضلي المنتظم لا يحرق السكر أثناء التمرين فحسب، بل يعيد برمجة العضلة لتستجيب للإنسولين بشكل أفضل في كافة الأوقات. وتؤكد دراسة نيمان وزملائه عام 2020 أن الارتباط بين تدريب القوة وانخفاض مقاومة الإنسولين يظهر حتى مع الجزء المرتبط بتغير مكونات الجسم.</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أما عن الجرعة التدريبية المثلى، فقد خلص تحليل أومبير وبشره الشامل المنشور في دورية الجمعية الطبية الأمريكية عام 2011 إلى أن البرامج التدريبية المنظمة تخفض السكر التراكمي بمتوسط يقارب 0.67 في المائة، وأن الفائدة تزداد مع ممارسة أكثر من 150 دقيقة أسبوعيًا. كما يؤكد بيان الجمعية الأمريكية للسكري المحدث بكاللي وزملائه عام 2016 أن الجمع بين التمارين الهوائية وتمارين المقاومة في أسبوع واحد يحقق نتائج أفضل من الاعتماد على نمط واحد، وهي خلاصة دعمتها دراسة كيتاني العربية على مصابات السكري في سلطنة عمان ودراسة رامزاني عام 2023 التي أظهرت سرعة أثر التدريب المتقطع عالي الشدة في خفض السكر.</w:t>
      </w:r>
    </w:p>
    <w:p>
      <w:pPr>
        <w:pStyle w:val="Heading1"/>
        <w:bidi/>
        <w:spacing w:after="300" w:before="480" w:line="460" w:lineRule="atLeast"/>
        <w:jc w:val="center"/>
      </w:pPr>
      <w:bookmarkStart w:id="100002" w:name="_Toc100002"/>
      <w:r>
        <w:rPr>
          <w:rFonts w:ascii="Times New Roman" w:cs="Simplified Arabic" w:hAnsi="Times New Roman"/>
          <w:b/>
          <w:bCs/>
          <w:i w:val="false"/>
          <w:iCs w:val="false"/>
          <w:color w:val="000000"/>
          <w:sz w:val="36"/>
          <w:szCs w:val="36"/>
          <w:rtl/>
        </w:rPr>
        <w:t xml:space="preserve">ثالثًا: مقارنة النماذج الأربعة المتاحة</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يسرد الجدول الآتي ملامح كل نموذج من النماذج الأربعة المعدة في هذه الحزمة، من حيث هيكله الداخلي والحالة التي يصلح لها وأبرز مزاياه وأهم اعتباراته قبل الاختيار. اقرأ العمودين الأخيرين بعناية لأنهما يجيبان على السؤال الجوهري: ماذا سيفيدني هذا النموذج وماذا سيتطلب مني؟</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مقارنة النماذج الأربعة المقترحة لعرض الأطروحة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النموذج</w:t>
            </w:r>
          </w:p>
        </w:tc>
        <w:tc>
          <w:tcPr>
            <w:tcW w:type="pct" w:w="2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الهيكل الداخلي</w:t>
            </w:r>
          </w:p>
        </w:tc>
        <w:tc>
          <w:tcPr>
            <w:tcW w:type="pct" w:w="2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الأفضل لمن؟</w:t>
            </w:r>
          </w:p>
        </w:tc>
        <w:tc>
          <w:tcPr>
            <w:tcW w:type="pct" w:w="2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المزايا</w:t>
            </w:r>
          </w:p>
        </w:tc>
        <w:tc>
          <w:tcPr>
            <w:tcW w:type="pct" w:w="2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الاعتبارات قبل الاختيار</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النموذج الأول: الخطة التقليدية</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مقدمة ثم مشكلة وتساؤلات وفرضيات وأهمية وأهداف ومصطلحات وحدود ثم إطار نظري ودراسات سابقة ثم منهج وإجراءات وجدول زمني</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الأنسب لبحث التخرج الجامعي في كليات التربية الرياضية في مصر والعالم العربي حيث تُقدَّم الخطة للمناقشة قبل التنفيذ</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شائعة ومعتمدة لدى أغلب الأساتذة؛ تسهّل التقييم بندًا بندًا وتغطي الجوانب المنهجية كاملة</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طويلة نسبيًا وقد تتكرر بعض الأفكار بين المشكلة والأهداف والفرضيات</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النموذج الثاني: صيغة IMRAD</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مستخلص عربي وإنجليزي ثم مقدمة ثم الطرائق والمناهج ثم النتائج ثم المناقشة ثم الخاتمة والمراجع</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الأنسب لمن يريد نشر أطروحته في مجلة علمية محكمة لاحقًا أو يدرس في كلية تعتمد النمط البحثي الحديث</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المعيار العالمي للنشر العلمي؛ مختصر ودقيق ويركز على البيانات؛ يسهل التحويل إلى مقال منشور</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يتطلب بيانات فعلية جاهزة للتحليل؛ أقل تفصيلًا في الإطار النظري</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النموذج الثالث: الفصول الخمسة</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خمسة فصول مستقلة: الإطار العام ثم الإطار النظري والدراسات السابقة ثم إجراءات الدراسة ثم عرض النتائج وتحليلها ثم المناقشة والاستنتاجات والتوصيات</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الأنسب للأطروحة الكاملة المكتوبة بعد انتهاء التجربة والتطبيق الميداني للبرنامج التدريبي</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هيكل متوازن ومقروء؛ يفصل النظرية عن المنهجية عن النتائج؛ شائع في الرسائل الممتازة</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يتطلب مجهودًا في التنظيم لتفادي التكرار بين الفصلين الأول والثاني</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النموذج الرابع: مقترح البحث المختصر</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بيانات العنوان ثم مقدمة ومشكلة موجزة ثم أسئلة وفرضيات وأهداف ثم منهجية مختصرة ثم خطة زمنية ومخرجات متوقعة</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الأنسب للتقديم الأولي على لجنة القسم للحصول على الموافقة على الموضوع والمشرف</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سريع الإعداد (4 إلى 6 صفحات)؛ يركز على الجوهر ويوفر وقت اللجنة</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لا يغني عن الخطة التفصيلية؛ سيتطلب توسيعه لاحقًا إلى أحد النماذج الثلاثة الأولى</w:t>
            </w:r>
          </w:p>
        </w:tc>
      </w:tr>
    </w:tbl>
    <w:p>
      <w:pPr>
        <w:bidi/>
        <w:spacing w:after="120" w:before="200" w:line="360" w:lineRule="atLeast"/>
        <w:ind w:firstLine="480"/>
        <w:jc w:val="both"/>
      </w:pPr>
      <w:r>
        <w:rPr>
          <w:rFonts w:ascii="Times New Roman" w:cs="Traditional Arabic" w:hAnsi="Times New Roman"/>
          <w:b w:val="false"/>
          <w:bCs w:val="false"/>
          <w:i w:val="false"/>
          <w:iCs w:val="false"/>
          <w:color w:val="000000"/>
          <w:sz w:val="32"/>
          <w:szCs w:val="32"/>
          <w:rtl/>
        </w:rPr>
        <w:t xml:space="preserve">يتضح من الجدول أن الخيار ليس بين نماذج جيدة وسيئة، وإنما بين صيغ متخصصة لمراحل مختلفة من العمل البحثي. فالنموذج الرابع أداة تقديم أولي سريعة، والنموذج الأول هو خطة التنفيذ الكاملة التي تقرها اللجنة، والنموذج الثالث هو هيكل الأطروحة النهائية المكتوبة بعد جمع البيانات، بينما النموذج الثاني هو أقرب صيغة للنشر العلمي الدولي. ويمكنك عمليًا أن تسير في مسار متدرج يبدأ بالنموذج الرابع لعرضه على القسم، ثم يتحول إلى النموذج الأول أو الثالث حسب طريقة عمل قسكم، وينتهي بالاستفادة من روح النموذج الثاني عند تلخيص النتائج للنشر.</w:t>
      </w:r>
    </w:p>
    <w:p>
      <w:pPr>
        <w:pStyle w:val="Heading1"/>
        <w:bidi/>
        <w:spacing w:after="300" w:before="480" w:line="460" w:lineRule="atLeast"/>
        <w:jc w:val="center"/>
      </w:pPr>
      <w:bookmarkStart w:id="100003" w:name="_Toc100003"/>
      <w:r>
        <w:rPr>
          <w:rFonts w:ascii="Times New Roman" w:cs="Simplified Arabic" w:hAnsi="Times New Roman"/>
          <w:b/>
          <w:bCs/>
          <w:i w:val="false"/>
          <w:iCs w:val="false"/>
          <w:color w:val="000000"/>
          <w:sz w:val="36"/>
          <w:szCs w:val="36"/>
          <w:rtl/>
        </w:rPr>
        <w:t xml:space="preserve">رابعًا: إرشادات عملية لاختيار النموذج المناسب</w:t>
      </w:r>
      <w:bookmarkEnd w:id="100003"/>
    </w:p>
    <w:p>
      <w:pPr>
        <w:pStyle w:val="Heading2"/>
        <w:bidi/>
        <w:spacing w:after="200" w:before="360" w:line="420" w:lineRule="atLeast"/>
        <w:jc w:val="start"/>
      </w:pPr>
      <w:bookmarkStart w:id="100004" w:name="_Toc100004"/>
      <w:r>
        <w:rPr>
          <w:rFonts w:ascii="Times New Roman" w:cs="Simplified Arabic" w:hAnsi="Times New Roman"/>
          <w:b/>
          <w:bCs/>
          <w:i w:val="false"/>
          <w:iCs w:val="false"/>
          <w:color w:val="000000"/>
          <w:sz w:val="32"/>
          <w:szCs w:val="32"/>
          <w:rtl/>
        </w:rPr>
        <w:t xml:space="preserve">1. راجع متطلبات قسمنا أولًا</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قبل أي شيء، اسأل مشرفك أو منسق مشروع التخرج عن الدليل المكتوب للقسم أو الكلية، فكثير من الكليات تحدد الشكل الإلزامي للخطة البحثية من حيث ترتيب العناصر وحجم الخط ونظام التوثيق. إن وُجد دليل رسمي فسيحكم على اختيارك بند الالتزام قبل بند التفضيل الشخصي، وستجد أن النموذج الأول في هذه الحزمة مطابق لغالبية الأدلة العربية التقليدية، بينما يفي النموذج الثالث بمتطلبات الجامعات التي تعتمد أسلوب الفصول المستقلة.</w:t>
      </w:r>
    </w:p>
    <w:p>
      <w:pPr>
        <w:pStyle w:val="Heading2"/>
        <w:bidi/>
        <w:spacing w:after="200" w:before="360" w:line="420" w:lineRule="atLeast"/>
        <w:jc w:val="start"/>
      </w:pPr>
      <w:bookmarkStart w:id="100005" w:name="_Toc100005"/>
      <w:r>
        <w:rPr>
          <w:rFonts w:ascii="Times New Roman" w:cs="Simplified Arabic" w:hAnsi="Times New Roman"/>
          <w:b/>
          <w:bCs/>
          <w:i w:val="false"/>
          <w:iCs w:val="false"/>
          <w:color w:val="000000"/>
          <w:sz w:val="32"/>
          <w:szCs w:val="32"/>
          <w:rtl/>
        </w:rPr>
        <w:t xml:space="preserve">2. حدد موقعك الحالي من مراحل البحث</w:t>
      </w:r>
      <w:bookmarkEnd w:id="10000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إن كنت في بداية الطريق ولم تعتمد الموضوع بعد، فابدأ بالنموذج الرابع المختصر لسرعة إعداده وسهولة مناقشته مع المشرف. وإن كان الموضوع معتمدًا وتستعد لبدء التطبيق الميداني للبرنامج التدريبي على المرضى، فالنموذج الأول يمنحك خطة تنفيذ كاملة بالإجراءات والجدول الزمني. أما إن انتهت التجربة وحان وقت كتابة الأطروحة النهائية، فالنموذج الثالث يوفر هيكلًا متكاملًا لعرض النتائج والمناقشة بطريقة أكاديمية ناضجة.</w:t>
      </w:r>
    </w:p>
    <w:p>
      <w:pPr>
        <w:pStyle w:val="Heading2"/>
        <w:bidi/>
        <w:spacing w:after="200" w:before="360" w:line="420" w:lineRule="atLeast"/>
        <w:jc w:val="start"/>
      </w:pPr>
      <w:bookmarkStart w:id="100006" w:name="_Toc100006"/>
      <w:r>
        <w:rPr>
          <w:rFonts w:ascii="Times New Roman" w:cs="Simplified Arabic" w:hAnsi="Times New Roman"/>
          <w:b/>
          <w:bCs/>
          <w:i w:val="false"/>
          <w:iCs w:val="false"/>
          <w:color w:val="000000"/>
          <w:sz w:val="32"/>
          <w:szCs w:val="32"/>
          <w:rtl/>
        </w:rPr>
        <w:t xml:space="preserve">3. فكر في مستقبل النشر العلمي</w:t>
      </w:r>
      <w:bookmarkEnd w:id="10000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من المبكر جدًا أن تفكر في النشر وأنت لم تنهِ البيانات، لكن القرار الصحيح الآن يوفر عليك وقتًا لاحقًا. فاختيار النموذج الثاني بصيغته القريبة من IMRAD يجعل تحويل أطروحتك إلى مقال محكم في مجلة علوم رياضية مسألة اختصار وإعادة صياغة، لا إعادة هيكلة كاملة. ولذلك يوصى بأن تفهم منطق هذا النموذج مهما كان اختيارك النهائي، خاصة في طريقة عرض النتائج في جداول إحصائية مقتضبة وربط المناقشة بالدراسات السابقة مباشرة.</w:t>
      </w:r>
    </w:p>
    <w:p>
      <w:pPr>
        <w:pStyle w:val="Heading1"/>
        <w:bidi/>
        <w:spacing w:after="300" w:before="480" w:line="460" w:lineRule="atLeast"/>
        <w:jc w:val="center"/>
      </w:pPr>
      <w:bookmarkStart w:id="100007" w:name="_Toc100007"/>
      <w:r>
        <w:rPr>
          <w:rFonts w:ascii="Times New Roman" w:cs="Simplified Arabic" w:hAnsi="Times New Roman"/>
          <w:b/>
          <w:bCs/>
          <w:i w:val="false"/>
          <w:iCs w:val="false"/>
          <w:color w:val="000000"/>
          <w:sz w:val="36"/>
          <w:szCs w:val="36"/>
          <w:rtl/>
        </w:rPr>
        <w:t xml:space="preserve">خامسًا: قواعد البيانات والمواقع العلمية للتوسع</w:t>
      </w:r>
      <w:bookmarkEnd w:id="10000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يجمع الجدول الآتي أهم المواقع التي تم مسحها في هذا البحث والتي يمكنك العودة إليها لتعميق مراجعة الأدبيات أو إيجاد دراسات إضافية حديثة. وقد صنفت المواقع حسب طبيعة ما تقدمه، بين قواعد بيانات عالمية ضخمة ومواقع عربية متخصصة تخدم الباحث في كلية التربية الرياضية بشكل مباشر.</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(2): أهم قواعد البيانات والمواقع العلمية ذات الصلة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tblGrid>
      <w:tr>
        <w:trPr>
          <w:cantSplit/>
          <w:tblHeader/>
        </w:trPr>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الموقع</w:t>
            </w:r>
          </w:p>
        </w:tc>
        <w:tc>
          <w:tcPr>
            <w:tcW w:type="pct" w:w="2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الرابط</w:t>
            </w:r>
          </w:p>
        </w:tc>
        <w:tc>
          <w:tcPr>
            <w:tcW w:type="pct" w:w="5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ما يقدمه لك</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PubMed</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pubmed.ncbi.nlm.nih.gov</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أضخم قاعدة بيانات طبية في العالم، مجانية للبحث، مليونات الدراسات المحكمة في الطب وفسيولوجيا التمارين</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Cochrane Library</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cochranelibrary.com</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مراجعات منهجية وتحليلات شاملة عالية الجودة للدليل العلمي، منها مراجعات التدريب المشترك لدى مرضى السكري</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Google Scholar</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scholar.google.com</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محرك بحث أكاديمي شامل يجمع الرسائل الجامعية والمقالات من كل التخصصات ويدعم البحث بالعربية</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SciELO</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scielo.org</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مكتبة علمية إلكترونية تضم دراسات أمريكا اللاتينية والبرتغالية والإسبانية مع نصوص كاملة مجانية</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Endotext</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endotext.org</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مرجع إلكتروني مجاني متخصص في أمراض الغدد الصماء والسكري يتحدث باطراد بفصول لخبراء عالميين</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دار المنظومة / المنهل</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search.mandumah.com</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أكبر قاعدة بيانات عربية للرسائل والمقالات العلمية، أساسية للدراسات العربية في التربية الرياضية</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منصة المتميز</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mobt3ath.com</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موقع عربي متخصص في علوم الرياضة والتمارين يضم دراسات ومقالات محكمة بالعربية</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ASJP</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asjp.cerist.dz</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المنصة الجزائرية للمجلات العلمية، تضم مجلات محكمة مجانية في علوم الرياضة والفسيولوجيا</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مستودع جامعة وايومنغ</w:t>
            </w:r>
          </w:p>
        </w:tc>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wyoscholar.uwyo.edu</w:t>
            </w:r>
          </w:p>
        </w:tc>
        <w:tc>
          <w:tcPr>
            <w:tcW w:type="pct" w:w="5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مستودع أكاديمي مفتوح يضم رسائل ماجستير وبحوث طلابية كاملة النصوص، مفيدة كنماذج لخطط البحث</w:t>
            </w:r>
          </w:p>
        </w:tc>
      </w:tr>
    </w:tbl>
    <w:p>
      <w:pPr>
        <w:bidi/>
        <w:spacing w:after="120" w:before="200" w:line="360" w:lineRule="atLeast"/>
        <w:ind w:firstLine="480"/>
        <w:jc w:val="both"/>
      </w:pPr>
      <w:r>
        <w:rPr>
          <w:rFonts w:ascii="Times New Roman" w:cs="Traditional Arabic" w:hAnsi="Times New Roman"/>
          <w:b w:val="false"/>
          <w:bCs w:val="false"/>
          <w:i w:val="false"/>
          <w:iCs w:val="false"/>
          <w:color w:val="000000"/>
          <w:sz w:val="32"/>
          <w:szCs w:val="32"/>
          <w:rtl/>
        </w:rPr>
        <w:t xml:space="preserve">ننصحك بأن تبدأ البحث في المواقع العالمية بكلمات مفتاحية إنجليزية دقيقة مثل exercise and type 2 diabetes، وphysical exertion glucose uptake، وresistance training HbA1c، ثم تنتقل للبحث بالعربية في قواعد البيانات العربية بكلمات مثل الجهد البدني والسكر التراكمي والبرنامج التدريبي للمرضى. هذه الثنائية اللغوية ستضمن لك تغطية شاملة للأدبيات وتمنح أطروحتك ثقلًا علميًا واضحًا أمام لجنة المناقشة.</w:t>
      </w:r>
    </w:p>
    <w:p>
      <w:pPr>
        <w:pStyle w:val="Heading1"/>
        <w:bidi/>
        <w:spacing w:after="300" w:before="480" w:line="460" w:lineRule="atLeast"/>
        <w:jc w:val="center"/>
      </w:pPr>
      <w:bookmarkStart w:id="100008" w:name="_Toc100008"/>
      <w:r>
        <w:rPr>
          <w:rFonts w:ascii="Times New Roman" w:cs="Simplified Arabic" w:hAnsi="Times New Roman"/>
          <w:b/>
          <w:bCs/>
          <w:i w:val="false"/>
          <w:iCs w:val="false"/>
          <w:color w:val="000000"/>
          <w:sz w:val="36"/>
          <w:szCs w:val="36"/>
          <w:rtl/>
        </w:rPr>
        <w:t xml:space="preserve">سادسًا: المراجع العلمية الكاملة</w:t>
      </w:r>
      <w:bookmarkEnd w:id="10000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تعرض القوائم الآتية كافة المراجع التي تم جمعها والتحقق منها خلال المسح البحثي، وقد تم توثيقها بأسلوب الجمعية الأمريكية لعلم النفس APA مع الاحتفاظ بالعناوين الأصلية للدراسات غير المترجمة. ستستخدم هذه القائمة نفسها في أي نموذج تختاره، مع إضافة ما تجده لاحقًا من مراجع جديدة.</w:t>
      </w:r>
    </w:p>
    <w:p>
      <w:pPr>
        <w:pStyle w:val="Heading2"/>
        <w:bidi/>
        <w:spacing w:after="200" w:before="360" w:line="420" w:lineRule="atLeast"/>
        <w:jc w:val="start"/>
      </w:pPr>
      <w:bookmarkStart w:id="100009" w:name="_Toc100009"/>
      <w:r>
        <w:rPr>
          <w:rFonts w:ascii="Times New Roman" w:cs="Simplified Arabic" w:hAnsi="Times New Roman"/>
          <w:b/>
          <w:bCs/>
          <w:i w:val="false"/>
          <w:iCs w:val="false"/>
          <w:color w:val="000000"/>
          <w:sz w:val="32"/>
          <w:szCs w:val="32"/>
          <w:rtl/>
        </w:rPr>
        <w:t xml:space="preserve">أولًا: المراجع العربية</w:t>
      </w:r>
      <w:bookmarkEnd w:id="100009"/>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10" w:name="_Toc100010"/>
      <w:r>
        <w:rPr>
          <w:rFonts w:ascii="Times New Roman" w:cs="Simplified Arabic" w:hAnsi="Times New Roman"/>
          <w:b/>
          <w:bCs/>
          <w:i w:val="false"/>
          <w:iCs w:val="false"/>
          <w:color w:val="000000"/>
          <w:sz w:val="32"/>
          <w:szCs w:val="32"/>
          <w:rtl/>
        </w:rPr>
        <w:t xml:space="preserve">ثانيًا: المراجع الأجنبية</w:t>
      </w:r>
      <w:bookmarkEnd w:id="100010"/>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Siregar, A. S., et al. (2025). The effect of physical exercise on blood glucose levels, HbA1c, and blood glucose variability in patients with type 2 diabetes: A quantitative analysis. Journal of Prima University. Available at: jurnal.unprimdn.ac.id.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The Impact of Resistance Exercise Training on Glycemic Control in Type 2 Diabetes. (2026). ResearchGate Publication. Available at: www.researchgate.net.</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Umpierre, D., Ribeiro, P. A. B., Kramer, C. K., Leitao, C. B., Zucatti, A. T. N., Azevedo, M. J., et al. (2011). Physical activity advice only or structured exercise training and association with HbA1c levels in type 2 diabetes: A systematic review and meta-analysis. JAMA, 305(17), 1790-1799.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Wang, W., et al. (2021). The effect of physical exercise on blood sugar control in diabetic patients. SciELO Scientific Electronic Library. Available at: www.scielo.br.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Zahalka, S. J., et al. (2025). The role of exercise in diabetes. In: Feingold, K. R., et al. (Eds.), Endotext. South Dartmouth, MA: MDText.com, Inc. (NCBI Bookshelf). Available at: www.endotext.org.</w:t>
      </w:r>
    </w:p>
    <w:p>
      <w:pPr>
        <w:pStyle w:val="Heading1"/>
        <w:bidi/>
        <w:spacing w:after="300" w:before="480" w:line="460" w:lineRule="atLeast"/>
        <w:jc w:val="center"/>
      </w:pPr>
      <w:bookmarkStart w:id="100011" w:name="_Toc100011"/>
      <w:r>
        <w:rPr>
          <w:rFonts w:ascii="Times New Roman" w:cs="Simplified Arabic" w:hAnsi="Times New Roman"/>
          <w:b/>
          <w:bCs/>
          <w:i w:val="false"/>
          <w:iCs w:val="false"/>
          <w:color w:val="000000"/>
          <w:sz w:val="36"/>
          <w:szCs w:val="36"/>
          <w:rtl/>
        </w:rPr>
        <w:t xml:space="preserve">سابعًا: ملاحظات منهجية وأخلاقية مهمة</w:t>
      </w:r>
      <w:bookmarkEnd w:id="10001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إن أمانة الباحث تبدأ من توثيقه الصادق، لذا نلفت الانتباه إلى أن الأرقام والنتائج الواردة في هذه النماذج مستمدة من دراسات منشورة وتم ذكر مصدرها نصًا، أما خلايا النتائج المتعلقة بتجربتك فتُركت فارغة بشكل مقصود بعلامات الاستبدال حتى تملأها ببياناتك الفعلية بعد جمعها وتحليلها إحصائيًا. يمنع تمامًا تعبئة هذه الخلايا بقيم متوقعة أو مستعارة، فذلك يشكل مخالفة أخلاقية للبحث العلمي تعرض النتائج للرفض عند المناقشة.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كما يجب قبل البدء في التجربة الميدانية على المرضى الحصول على الموافقة الأخلاقية من لجنة أخلاقيات البحث في كليتك أو المستشفى المكان الذي سيجري فيه التطبيق، وضمان موافقة علمية مستنيرة من كل مشارك بعد شرح طبيعة البرنامج التدريبي ومدى أمانه. وتؤكد أدبيات الموضوع أن التمارين المعتدلة آمنة لغالبية مرضى السكري من النوع الثاني، إلا أن اشتراط فحص طبي أولي وضبط جرعات الأدوية بالتنسيق مع الطبيب المعالج يظل جزءًا أساسيًا من إجراءات أي دراسة تجريبية جادة.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وأخيرًا، يبقى هذه النماذج قوالب معدلة قابلة للشطب والتوسيع، وستكتشف أثناء العمل أن مشرفك يضيف عناصر أو يحذف أخرى وفق مدرسته الأكاديمية. لا ترتبك من ذلك، فالقيمة الحقيقية في هذه الحزمة أنها توفر عليك بضعة أسابيع من التفكير في الشكل والصياغة، لتنفق طاقتك في المهم فعلًا، وهو إجراء تجربة علمية ناجحة وبيانات موثوقة تضاف إلى صندوق المعرفة العربية في علم التدريب والصحة.</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 – دليل النماذج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 – دليل النماذج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النماذج والمراجع</dc:title>
  <dc:creator>قسم التربية الرياضية</dc:creator>
  <cp:lastModifiedBy>Un-named</cp:lastModifiedBy>
  <cp:revision>1</cp:revision>
  <dcterms:created xsi:type="dcterms:W3CDTF">2026-09-30T16:03:32.069Z</dcterms:created>
  <dcterms:modified xsi:type="dcterms:W3CDTF">2026-09-30T16:03:32.069Z</dcterms:modified>
</cp:coreProperties>
</file>

<file path=docProps/custom.xml><?xml version="1.0" encoding="utf-8"?>
<Properties xmlns="http://schemas.openxmlformats.org/officeDocument/2006/custom-properties" xmlns:vt="http://schemas.openxmlformats.org/officeDocument/2006/docPropsVTypes"/>
</file>