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【اسم الجامعة】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كلية التربية الرياضية – قسم 【اسم القسم】</w:t>
      </w:r>
    </w:p>
    <w:p>
      <w:pPr>
        <w:bidi/>
        <w:spacing w:after="700" w:line="420" w:lineRule="atLeast"/>
        <w:jc w:val="center"/>
      </w:pPr>
      <w:r>
        <w:rPr>
          <w:rFonts w:ascii="Times New Roman" w:cs="Simplified Arabic" w:hAnsi="Times New Roman"/>
          <w:b/>
          <w:bCs/>
          <w:i w:val="false"/>
          <w:iCs w:val="false"/>
          <w:color w:val="000000"/>
          <w:sz w:val="34"/>
          <w:szCs w:val="34"/>
          <w:rtl/>
        </w:rPr>
        <w:t xml:space="preserve">خطة بحث مقدم لنيل درجة البكالوريوس في علوم التربية الرياضية</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الطالب】</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المشرف】</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 / 20】</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【الشهر والسنة】</w:t>
      </w:r>
    </w:p>
    <w:p>
      <w:pPr>
        <w:sectPr>
          <w:pgSz w:w="11906" w:h="16838" w:orient="portrait"/>
          <w:pgMar w:top="1440" w:right="1417" w:bottom="1440" w:left="1701" w:header="850" w:footer="992" w:gutter="0"/>
          <w:docGrid w:linePitch="360"/>
        </w:sectPr>
      </w:pP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المقدمة</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مشكلة البحث وتساؤلاته</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فرضيات البحث</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أهمية البحث</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الأهمية العلمية (النظرية)</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الأهمية التطبيقية (العملية)</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أهداف البحث</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مصطلحات البحث وتعريفاتها الإجرائية</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الجهد البدني</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الجهد العضلي (المقاومة)</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مرض السكري من النوع الثاني</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السكر التراكمي (HbA1c)</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مقاومة الإنسولين (HOMA-IR)</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حدود البحث</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الإطار النظري الموجز</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المبحث الأول: مرض السكري من النوع الثاني ومداخل السيطرة عليه</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المبحث الثاني: الاستجابات الفسيولوجية للجهد البدني والعضلي</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المبحث الثالث: الأسس العلمية لبرامج التدريب لدى مرضى السكري</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الدراسات السابقة</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الدراسة الأولى: دراسة الكيتاني (دار المنظومة)</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الدراسة الثانية: هولتن وزملاؤه (2004)</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الدراسة الثالثة: أومبير وزملاؤه (2011)</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الدراسة الرابعة: رامزاني وزملاؤه (2023)</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تعقيب عام على الدراسات السابقة</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منهج البحث وإجراءاته</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منهج البحث</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مجتمع البحث وعينته</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أدوات جمع البيانات</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البرنامج التدريبي المقترح</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الأساليب الإحصائية</w:t>
            </w:r>
            <w:r>
              <w:tab/>
            </w:r>
            <w:r>
              <w:fldChar w:fldCharType="begin"/>
            </w:r>
            <w:r>
              <w:instrText xml:space="preserve"> PAGEREF _Toc100029 \h </w:instrText>
            </w:r>
            <w:r>
              <w:fldChar w:fldCharType="separate"/>
            </w:r>
            <w:r>
              <w:t>12</w:t>
            </w:r>
            <w:r>
              <w:fldChar w:fldCharType="end"/>
            </w:r>
          </w:hyperlink>
        </w:p>
        <w:p>
          <w:pPr>
            <w:pStyle w:val="9"/>
            <w:tabs>
              <w:tab w:val="right" w:leader="dot" w:pos="9026"/>
            </w:tabs>
            <w:spacing w:before="120" w:after="60"/>
          </w:pPr>
          <w:hyperlink w:anchor="_Toc100030" w:history="1">
            <w:r>
              <w:rPr>
                <w:rStyle w:val="Hyperlink"/>
              </w:rPr>
              <w:t>الجدول الزمني المقترح لتنفيذ البحث</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المراجع</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أولًا: المراجع العربية</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ثانيًا: المراجع الأجنبية</w:t>
            </w:r>
            <w:r>
              <w:tab/>
            </w:r>
            <w:r>
              <w:fldChar w:fldCharType="begin"/>
            </w:r>
            <w:r>
              <w:instrText xml:space="preserve"> PAGEREF _Toc100033 \h </w:instrText>
            </w:r>
            <w:r>
              <w:fldChar w:fldCharType="separate"/>
            </w:r>
            <w:r>
              <w:t>13</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المقدمة</w:t>
      </w:r>
      <w:bookmarkEnd w:id="10000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يمثل مرض السكري من النوع الثاني أحد أسرع الأمراض المزمنة انتشارًا في العصر الحديث، حتى أصبح يوصف في الأدبيات الطبية بالوباء الصامت. وقد أشارت التقارير العالمية إلى أن عدد البالغين المصابين بالسكري في العالم تجاوز نصف مليار شخص، وأن النمط الثاني من المرض يشكل النسبة الغالبة من هذه الإصابات، وهو ما يرتبط ارتباطًا وثيقًا بنمط الحياة قليل الحركة والتغيرات الغذائية في المجتمعات المعاصرة. وتزداد خطورة هذا المرض بفعل مضاعفاته الجهازية التي تمس القلب والكليتين والأعصاب والعينين، مما يجعل البحث عن وسائل غير دوائية فعالة وآمنة للسيطرة عليه أولوية علمية وصحية ملحة.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وقد رسخت الدراسات العلمية خلال العقود الأخيرة أن النشاط البدني المنتظم ليس مجرد وسيلة مساعدة للسيطرة على مرض السكري، بل هو ركيزة علاجية أصيلة تقف جنباً إلى جنب مع العلاج الدوائي والنظام الغذائي. فدراسة برنامج الوقاية من السكري (Diabetes Prevention Program Research Group, 2002) أثبتت أن التدخل الحياتي القائم على الجهد البدني المنتظم خفض معدلات الإصابة بالسكري بنسبة 58 في المائة متفوقاً على بعض التدخلات الدوائية. كما أوضح بيان الجمعية الأمريكية للسكري (Kanaley et al., 2016) أن التمارين الهوائية والمقاومة العضلية معاً تحقق أفضلية واضحة في تحسين مستوى السكر التراكمي وحساسية الإنسولين لدى المرضى.</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وتنبع أهمية هذا البحث من التخصص ذاته، فكلية التربية الرياضية هي الجهة العلمية المؤهلة لتصميم البرامج التدريبية الآمنة والفعالة للفئات الخاصة، والجهد البدني والعضلي بوصفهما متغيرين قابلين للقياس والضبط يمثلان المادة الخام لعمل أخصائي التدريب الرياضي. ومن ثم فإن دراسة أثر هذين المتغيرين لدى مرضى السكري تفتح المجال أمام تطبيقات عملية مباشرة تخدم الصحة العامة، وتضيف للمعرفة العربية دراسة ميدانية موثقة في مجال نشاط بدني خاص بالفئات.</w:t>
      </w:r>
    </w:p>
    <w:p>
      <w:pPr>
        <w:pStyle w:val="Heading1"/>
        <w:bidi/>
        <w:spacing w:after="300" w:before="480" w:line="460" w:lineRule="atLeast"/>
        <w:jc w:val="center"/>
      </w:pPr>
      <w:bookmarkStart w:id="100001" w:name="_Toc100001"/>
      <w:r>
        <w:rPr>
          <w:rFonts w:ascii="Times New Roman" w:cs="Simplified Arabic" w:hAnsi="Times New Roman"/>
          <w:b/>
          <w:bCs/>
          <w:i w:val="false"/>
          <w:iCs w:val="false"/>
          <w:color w:val="000000"/>
          <w:sz w:val="36"/>
          <w:szCs w:val="36"/>
          <w:rtl/>
        </w:rPr>
        <w:t xml:space="preserve">مشكلة البحث وتساؤلاته</w:t>
      </w:r>
      <w:bookmarkEnd w:id="10000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على الرغم من تراكم الأدلة العالمية على فائدة التمارين لدى مرضى السكري، فإن المشاهدة الميدانية للأوساط العربية تكشف عن فجوة تطبيقية واضحة: فالبرامج المطبقة على المرضى إما عامة غير متخصصة، أو منقولة تقليد عن ترجمات دون ضبط لجرعة الجهد البدني والعضلي المناسبة لحالة المريض الصحية. كما أن كثيراً من الدراسات العربية ركزت على أحد أنماط التمارين منفرداً، بينما توصي الأدلة الحديثة بالجمع بين التمارين الهوائية وتمارين المقاومة لتحقيق الأثر الأمثل في ضبط السكر وتحسين مكونات الجسم.</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وبناءً على ما سبق، تتحدد مشكلة البحث في حاجة المداخلات التدريبية لمريض السكري إلى برنامج علمي مضبوط يجمع بين مكون الجهد البدني الهوائي ومكون الجهد العضلي (المقاومة) مع مراقبة مؤشرات السيطرة على المرض قبل التدخل وبعده. ولتحقيق ذلك تطرح الباحثة/الباحث التساؤل الرئيس الآتي:</w:t>
      </w:r>
    </w:p>
    <w:p>
      <w:pPr>
        <w:bidi/>
        <w:spacing w:after="120" w:before="0" w:line="360" w:lineRule="atLeast"/>
        <w:jc w:val="both"/>
      </w:pPr>
      <w:r>
        <w:rPr>
          <w:rFonts w:ascii="Times New Roman" w:cs="Traditional Arabic" w:hAnsi="Times New Roman"/>
          <w:b/>
          <w:bCs/>
          <w:i w:val="false"/>
          <w:iCs w:val="false"/>
          <w:color w:val="000000"/>
          <w:sz w:val="32"/>
          <w:szCs w:val="32"/>
          <w:rtl/>
        </w:rPr>
        <w:t xml:space="preserve">ما تأثير برنامج تدريبي مقترح يجمع بين الجهد البدني الهوائي والجهد العضلي (المقاومة) على مستوى السكر التراكمي وبعض المؤشرات الفسيولوجية والعضلية لدى مرضى السكري من النوع الثاني؟</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ويتفرع عن هذا التساؤل الرئيس التساؤلات الفرعية الآتية: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1. هل توجد فروق دالة إحصائياً بين متوسطي القياسين القبلي والبعدي للمجموعة التجريبية في السكر التراكمي (HbA1c) والسكر الصائم لصالح القياس البعدي؟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2. هل توجد فروق دالة إحصائياً بين المجموعة التجريبية والمجموعة الضابطة في القياس البعدي لمستوى السكر التراكمي؟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3. هل يتحسن كل من قوة عضلات الجسم العلوية والسفلية ومؤشر كتلة الجسم لدى أفراد المجموعة التجريبية بعد انتهاء البرنامج التدريبي؟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4. ما أثر البرنامج المقترح في تقدير مقاومة الإنسولين (HOMA-IR) لدى أفراد عينة البحث؟</w:t>
      </w:r>
    </w:p>
    <w:p>
      <w:pPr>
        <w:pStyle w:val="Heading1"/>
        <w:bidi/>
        <w:spacing w:after="300" w:before="480" w:line="460" w:lineRule="atLeast"/>
        <w:jc w:val="center"/>
      </w:pPr>
      <w:bookmarkStart w:id="100002" w:name="_Toc100002"/>
      <w:r>
        <w:rPr>
          <w:rFonts w:ascii="Times New Roman" w:cs="Simplified Arabic" w:hAnsi="Times New Roman"/>
          <w:b/>
          <w:bCs/>
          <w:i w:val="false"/>
          <w:iCs w:val="false"/>
          <w:color w:val="000000"/>
          <w:sz w:val="36"/>
          <w:szCs w:val="36"/>
          <w:rtl/>
        </w:rPr>
        <w:t xml:space="preserve">فرضيات البحث</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تنطلق فرضيات البحث من الإطار النظري والدراسات السابقة التي أظهرت أثراً إيجابياً للتدريب المنظم على مؤشرات ضبط السكر، وتصاغ كما يلي على مستوى 0.05:</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1. توجد فروق دالة إحصائياً بين متوسطي القياسين القبلي والبعدي للمجموعة التجريبية في السكر التراكمي والسكر الصائم لصالح القياس البعدي.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2. توجد فروق دالة إحصائياً بين متوسطي قياسات المجموعة التجريبية والضابطة في القياس البعدي لمؤشرات ضبط السكر لصالح المجموعة التجريبية.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3. توجد فروق دالة إحصائياً بين متوسطي القياسين القبلي والبعدي للمجموعة التجريبية في القوة العضلية (القبضية وللجسم السفلي) ومؤشر كتلة الجسم لصالح القياس البعدي.</w:t>
      </w:r>
    </w:p>
    <w:p>
      <w:pPr>
        <w:pStyle w:val="Heading1"/>
        <w:bidi/>
        <w:spacing w:after="300" w:before="480" w:line="460" w:lineRule="atLeast"/>
        <w:jc w:val="center"/>
      </w:pPr>
      <w:bookmarkStart w:id="100003" w:name="_Toc100003"/>
      <w:r>
        <w:rPr>
          <w:rFonts w:ascii="Times New Roman" w:cs="Simplified Arabic" w:hAnsi="Times New Roman"/>
          <w:b/>
          <w:bCs/>
          <w:i w:val="false"/>
          <w:iCs w:val="false"/>
          <w:color w:val="000000"/>
          <w:sz w:val="36"/>
          <w:szCs w:val="36"/>
          <w:rtl/>
        </w:rPr>
        <w:t xml:space="preserve">أهمية البحث</w:t>
      </w:r>
      <w:bookmarkEnd w:id="100003"/>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الأهمية العلمية (النظرية)</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يضيف البحث معرفة عربية موثقة إلى مكتبة التربية الرياضية في مجال الرياضة والصحة والفئات الخاصة، من خلال تتبع أثر جرعة تدريبية مضبوطة تجمع بين النمطين الهوائي والمقاومة على مؤشرات حيوية قابلة للقياس. كما يساعد في فهم العلاقة بين حجم الجهد البدني والعضلي والاستجابات الأيضية لدى مرضى السكري في البيئة المحلية، وهي علاقة تحظى باهتمام متزايد في الأدبيات العالمية (Holten et al., 2004; Kanaley et al., 2016) وتظل في حاجة إلى اختبار ميداني عربي يستجيب لخصوصية العينات المحلية.</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الأهمية التطبيقية (العملية)</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يقدم البحث برنامجاً تدريبياً تفصيلياً قابلاً للتطبيق من قبل أخصائيي التدريب والمعالجة الرياضية في المراكز الصحية ونوادي الفئات الخاصة، مع تحديد الشدة والحجم والصعود التدريبي بما يضمن الأمان لمرضى السكري. كما توفر النتائج المتوقعة قاعدة علمية لأطباء الغدد الصماء لترشيد إحالتهم مرضاهم إلى البرامج الرياضية الموجهة، وتمهد الطريق أمام مجتمعات رياضية علاجية مندمجة ضمن خطة السيطرة على الأمراض المزمنة غير السارية.</w:t>
      </w:r>
    </w:p>
    <w:p>
      <w:pPr>
        <w:pStyle w:val="Heading1"/>
        <w:bidi/>
        <w:spacing w:after="300" w:before="480" w:line="460" w:lineRule="atLeast"/>
        <w:jc w:val="center"/>
      </w:pPr>
      <w:bookmarkStart w:id="100006" w:name="_Toc100006"/>
      <w:r>
        <w:rPr>
          <w:rFonts w:ascii="Times New Roman" w:cs="Simplified Arabic" w:hAnsi="Times New Roman"/>
          <w:b/>
          <w:bCs/>
          <w:i w:val="false"/>
          <w:iCs w:val="false"/>
          <w:color w:val="000000"/>
          <w:sz w:val="36"/>
          <w:szCs w:val="36"/>
          <w:rtl/>
        </w:rPr>
        <w:t xml:space="preserve">أهداف البحث</w:t>
      </w:r>
      <w:bookmarkEnd w:id="10000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يسعى البحث إلى تحقيق الأهداف الآتية: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1. تصميم برنامج تدريبي مقترح يجمع بين الجهد البدني الهوائي والجهد العضلي المقاوم مناسب لمرضى السكري من النوع الثاني.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2. التعرف على أثر البرنامج المقترح في مستوى السكر التراكمي (HbA1c) والسكر الصائم لدى أفراد عينة البحث.</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3. الكشف عن أثر البرنامج في تقدير مقاومة الإنسولين (HOMA-IR) لدى المجموعة التجريبية.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4. قياس تطور القوة العضلية للجسم العلوي والسفلي ومؤشر كتلة الجسم بعد انتهاء البرنامج.</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5. الوصول إلى توصيات تطبيقية تخدم دمج التمارين المخططة في خطط رعاية مرضى السكري.</w:t>
      </w:r>
    </w:p>
    <w:p>
      <w:pPr>
        <w:pStyle w:val="Heading1"/>
        <w:bidi/>
        <w:spacing w:after="300" w:before="480" w:line="460" w:lineRule="atLeast"/>
        <w:jc w:val="center"/>
      </w:pPr>
      <w:bookmarkStart w:id="100007" w:name="_Toc100007"/>
      <w:r>
        <w:rPr>
          <w:rFonts w:ascii="Times New Roman" w:cs="Simplified Arabic" w:hAnsi="Times New Roman"/>
          <w:b/>
          <w:bCs/>
          <w:i w:val="false"/>
          <w:iCs w:val="false"/>
          <w:color w:val="000000"/>
          <w:sz w:val="36"/>
          <w:szCs w:val="36"/>
          <w:rtl/>
        </w:rPr>
        <w:t xml:space="preserve">مصطلحات البحث وتعريفاتها الإجرائية</w:t>
      </w:r>
      <w:bookmarkEnd w:id="100007"/>
    </w:p>
    <w:p>
      <w:pPr>
        <w:pStyle w:val="Heading2"/>
        <w:bidi/>
        <w:spacing w:after="200" w:before="360" w:line="420" w:lineRule="atLeast"/>
        <w:jc w:val="start"/>
      </w:pPr>
      <w:bookmarkStart w:id="100008" w:name="_Toc100008"/>
      <w:r>
        <w:rPr>
          <w:rFonts w:ascii="Times New Roman" w:cs="Simplified Arabic" w:hAnsi="Times New Roman"/>
          <w:b/>
          <w:bCs/>
          <w:i w:val="false"/>
          <w:iCs w:val="false"/>
          <w:color w:val="000000"/>
          <w:sz w:val="32"/>
          <w:szCs w:val="32"/>
          <w:rtl/>
        </w:rPr>
        <w:t xml:space="preserve">الجهد البدني</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يُقصد به مجموع الأحمال الهوائية التي يمارسها الفرد وتؤدي إلى استهلاك واضح للطاقة وزيادة في معدل الأكسجين المستهلك، ويقاس عادة بشدة التمرين المعبّرة عن نسبة من الاحتياطي القلبي أو معدل النبض المستهدف. وإجرائياً في هذا البحث: الحصص التدريبية الهوائية الواردة في البرنامج المقترح (مشي متسارع، ركض خفيف، دراجة ثابتة) بمدة تتراوح بين 25 و40 دقيقة وبشدة تتراوح بين 40 و60 في المائة من الاحتياطي القلبي.</w:t>
      </w:r>
    </w:p>
    <w:p>
      <w:pPr>
        <w:pStyle w:val="Heading2"/>
        <w:bidi/>
        <w:spacing w:after="200" w:before="360" w:line="420" w:lineRule="atLeast"/>
        <w:jc w:val="start"/>
      </w:pPr>
      <w:bookmarkStart w:id="100009" w:name="_Toc100009"/>
      <w:r>
        <w:rPr>
          <w:rFonts w:ascii="Times New Roman" w:cs="Simplified Arabic" w:hAnsi="Times New Roman"/>
          <w:b/>
          <w:bCs/>
          <w:i w:val="false"/>
          <w:iCs w:val="false"/>
          <w:color w:val="000000"/>
          <w:sz w:val="32"/>
          <w:szCs w:val="32"/>
          <w:rtl/>
        </w:rPr>
        <w:t xml:space="preserve">الجهد العضلي (المقاومة)</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هو الأحمال التدريبية التي تتعرض لها المجموعات العضلية بهدف تنمية القوة والقدرة على التحمل العضلي، ويُضبط بعدد التكرارات والمجموع ونسبة الحد الأقصى للحمولة. وإجرائياً: تمارين المقاومة المدرجة في البرنامج المقترح باستخدام الأحمال الحرة والأجهزة بنسبة تتراوح بين 40 و60 في المائة من الحد الأقصى وبـ 2 إلى 3 مجموعات من 10 إلى 15 تكراراً لكل تمرين.</w:t>
      </w:r>
    </w:p>
    <w:p>
      <w:pPr>
        <w:pStyle w:val="Heading2"/>
        <w:bidi/>
        <w:spacing w:after="200" w:before="360" w:line="420" w:lineRule="atLeast"/>
        <w:jc w:val="start"/>
      </w:pPr>
      <w:bookmarkStart w:id="100010" w:name="_Toc100010"/>
      <w:r>
        <w:rPr>
          <w:rFonts w:ascii="Times New Roman" w:cs="Simplified Arabic" w:hAnsi="Times New Roman"/>
          <w:b/>
          <w:bCs/>
          <w:i w:val="false"/>
          <w:iCs w:val="false"/>
          <w:color w:val="000000"/>
          <w:sz w:val="32"/>
          <w:szCs w:val="32"/>
          <w:rtl/>
        </w:rPr>
        <w:t xml:space="preserve">مرض السكري من النوع الثاني</w:t>
      </w:r>
      <w:bookmarkEnd w:id="10001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اضطراب أيضي مزمن يتسم بارتفاع مستوى الجلوكوز في الدم نتيجة مقاومة الأنسجة للإنسولين وخلل تدريجي في إفراز خلايا بيتا، وهو الأنماط الأكثر شيوعاً بين البالغين. وإجرائياً: المرضى المشخصون طبياً بالسكري النمط الثاني والملتحقون بالعيادة المرجعية المتفق عليها ضمن الفئة العمرية المحددة في حدود البحث.</w:t>
      </w:r>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السكر التراكمي (HbA1c)</w:t>
      </w:r>
      <w:bookmarkEnd w:id="10001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مؤشر حيوي يعبر عن متوسط تركيز الجلوكوز في الدم خلال الشهرين إلى ثلاثة أشهر السابقة للفحص، ويُعد المقياس الأكثر موثوقية لتقييم السيطرة على مرض السكري (Wang et al., 2021). وإجرائياً: القراءة المسحوبة من عينة دم وريدية صائمة لدى أفراد العينة قبل البرنامج وبعد انتهائه بمدة أسبوعين على الأقل.</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مقاومة الإنسولين (HOMA-IR)</w:t>
      </w:r>
      <w:bookmarkEnd w:id="10001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مؤشر محسوب يربط بين مستويات الإنسولين الصائمي والجلوكوز الصائمي لتقدير درجة مقاومة الأنسجة للإنسولين، وقد استخدمته دراسات عربية وأجنبية متعددة لقياس أثر التدريب على الحساسية للإنسولين (الكيتاني؛ Niemann et al., 2020). وإجرائياً: القيمة المحسوبة من قياسي الإنسولين والجلوكوز الصائمين في القياسين القبلي والبعدي.</w:t>
      </w:r>
    </w:p>
    <w:p>
      <w:pPr>
        <w:pStyle w:val="Heading1"/>
        <w:bidi/>
        <w:spacing w:after="300" w:before="480" w:line="460" w:lineRule="atLeast"/>
        <w:jc w:val="center"/>
      </w:pPr>
      <w:bookmarkStart w:id="100013" w:name="_Toc100013"/>
      <w:r>
        <w:rPr>
          <w:rFonts w:ascii="Times New Roman" w:cs="Simplified Arabic" w:hAnsi="Times New Roman"/>
          <w:b/>
          <w:bCs/>
          <w:i w:val="false"/>
          <w:iCs w:val="false"/>
          <w:color w:val="000000"/>
          <w:sz w:val="36"/>
          <w:szCs w:val="36"/>
          <w:rtl/>
        </w:rPr>
        <w:t xml:space="preserve">حدود البحث</w:t>
      </w:r>
      <w:bookmarkEnd w:id="10001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تتحدد حدود البحث التي تُعمم نتائجه في إطارها الآتي: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الحدود المكانية: 【اسم المستشفى/المركز الصحي أو الأكاديمية الرياضية】 التي سيجري فيها التطبيق الميداني للبرنامج التدريبي والقياسات.</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الحدود الزمانية: 【الفصل الدراسي/التاريخ】 وتشمل فترة القياس القبلي و12 أسبوعاً للتطبيق ثم القياس البعدي.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الحدود البشرية: مرضى السكري من النوع الثاني من كلا الجنسين ضمن الفئة العمرية من 40 إلى 60 عاماً والملتحقون بالعيادة المرجعية وبموافقة الطبيب المعالج.</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الحدود الموضوعية: أثر البرنامج التدريبي في السكر التراكمي والسكر الصائم ومقاومة الإنسولين والقوة العضلية ومؤشر كتلة الجسم، دون غيرها من المتغيرات الحيوية أو النفسية.</w:t>
      </w:r>
    </w:p>
    <w:p>
      <w:pPr>
        <w:pStyle w:val="Heading1"/>
        <w:bidi/>
        <w:spacing w:after="300" w:before="480" w:line="460" w:lineRule="atLeast"/>
        <w:jc w:val="center"/>
      </w:pPr>
      <w:bookmarkStart w:id="100014" w:name="_Toc100014"/>
      <w:r>
        <w:rPr>
          <w:rFonts w:ascii="Times New Roman" w:cs="Simplified Arabic" w:hAnsi="Times New Roman"/>
          <w:b/>
          <w:bCs/>
          <w:i w:val="false"/>
          <w:iCs w:val="false"/>
          <w:color w:val="000000"/>
          <w:sz w:val="36"/>
          <w:szCs w:val="36"/>
          <w:rtl/>
        </w:rPr>
        <w:t xml:space="preserve">الإطار النظري الموجز</w:t>
      </w:r>
      <w:bookmarkEnd w:id="100014"/>
    </w:p>
    <w:p>
      <w:pPr>
        <w:pStyle w:val="Heading2"/>
        <w:bidi/>
        <w:spacing w:after="200" w:before="360" w:line="420" w:lineRule="atLeast"/>
        <w:jc w:val="start"/>
      </w:pPr>
      <w:bookmarkStart w:id="100015" w:name="_Toc100015"/>
      <w:r>
        <w:rPr>
          <w:rFonts w:ascii="Times New Roman" w:cs="Simplified Arabic" w:hAnsi="Times New Roman"/>
          <w:b/>
          <w:bCs/>
          <w:i w:val="false"/>
          <w:iCs w:val="false"/>
          <w:color w:val="000000"/>
          <w:sz w:val="32"/>
          <w:szCs w:val="32"/>
          <w:rtl/>
        </w:rPr>
        <w:t xml:space="preserve">المبحث الأول: مرض السكري من النوع الثاني ومداخل السيطرة عليه</w:t>
      </w:r>
      <w:bookmarkEnd w:id="10001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يُصنف السكري من النوع الثاني بوصفه خللاً أيضياً متعدد العوامل يتطور نتيجة تفاعل الاستعداد الوراثي مع السمنة وقلة الحركة وتقدم العمر، وتتدرج إدارته من تعديل نمط الحياة إلى الأدوية الفموية ثم الإنسولين عند تقدم المرض. وتؤكد الأدلة العالمية أن الفترة المبكرة من المرض هي النافذة الأهم للتدخل الحياتي، إذ ما زالت وظيفة خلايا بيتا قابلة للحفظ، وقد أثبتت دراسة برنامج الوقاية من السكري أن خفض الوزن وممارسة النشاط البدني بمعدل 150 دقيقة أسبوعياً خفض الإصابة بنسبة 58 في المائة (Diabetes Prevention Program Research Group, 2002). كما يبقى التحكم في السكر التراكمي هو المعيار الذهبي لتقييم جودة السيطرة على المرض ومنع المضاعفات طويلة المدى.</w:t>
      </w:r>
    </w:p>
    <w:p>
      <w:pPr>
        <w:pStyle w:val="Heading2"/>
        <w:bidi/>
        <w:spacing w:after="200" w:before="360" w:line="420" w:lineRule="atLeast"/>
        <w:jc w:val="start"/>
      </w:pPr>
      <w:bookmarkStart w:id="100016" w:name="_Toc100016"/>
      <w:r>
        <w:rPr>
          <w:rFonts w:ascii="Times New Roman" w:cs="Simplified Arabic" w:hAnsi="Times New Roman"/>
          <w:b/>
          <w:bCs/>
          <w:i w:val="false"/>
          <w:iCs w:val="false"/>
          <w:color w:val="000000"/>
          <w:sz w:val="32"/>
          <w:szCs w:val="32"/>
          <w:rtl/>
        </w:rPr>
        <w:t xml:space="preserve">المبحث الثاني: الاستجابات الفسيولوجية للجهد البدني والعضلي</w:t>
      </w:r>
      <w:bookmarkEnd w:id="10001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أثناء الجهد البدني الهوائي تتضاعف معدلات استهلاك العضلات للجلوكوز عبر آلية مستقلة عن الإنسولين تعتمد على نقل الناقل GLUT4 إلى غشاء الخلية العضلية، مما يمنح التمرين مفعولاً خافضاً للسكر مباشرة أثناء الحصة وبعدها. أما الجهد العضلي المقاوم فيعمل على زيادة كتلة العضلات الهيكلية التي تمثل الموقع الأكبر للتخلص من الجلوكوز في الجسم، وتحسين إشارات الإنسولين الخلوية، وقد ثبت تجريبياً أن تدريب المقاومة يرفع نقل الجلوكوز بوساطة الإنسولين ويزيد محتوى GLUT4 لدى مرضى السكري (Holten et al., 2004). كما يشير التحليل الشامل لأومبير وزملائه (Umpierre et al., 2011) إلى علاقة جرعة استجابة بين حجم النشاط الأسبوعي وانخفاض السكر التراكمي، مع فائدة إضافية عند تجاوز 150 دقيقة أسبوعياً.</w:t>
      </w:r>
    </w:p>
    <w:p>
      <w:pPr>
        <w:pStyle w:val="Heading2"/>
        <w:bidi/>
        <w:spacing w:after="200" w:before="360" w:line="420" w:lineRule="atLeast"/>
        <w:jc w:val="start"/>
      </w:pPr>
      <w:bookmarkStart w:id="100017" w:name="_Toc100017"/>
      <w:r>
        <w:rPr>
          <w:rFonts w:ascii="Times New Roman" w:cs="Simplified Arabic" w:hAnsi="Times New Roman"/>
          <w:b/>
          <w:bCs/>
          <w:i w:val="false"/>
          <w:iCs w:val="false"/>
          <w:color w:val="000000"/>
          <w:sz w:val="32"/>
          <w:szCs w:val="32"/>
          <w:rtl/>
        </w:rPr>
        <w:t xml:space="preserve">المبحث الثالث: الأسس العلمية لبرامج التدريب لدى مرضى السكري</w:t>
      </w:r>
      <w:bookmarkEnd w:id="10001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توصي البيانات العلمية الحديثة ببرنامج أسبوعي يجمع بين 150 دقيقة أو أكثر من النشاط الهوائي المعتدل الموزع على ثلاثة أيام فأكثر على الأقل دون تجاوز يومين متتاليين دون نشاط، إضافة إلى جلسات مقاومة من 2 إلى 3 أيام أسبوعياً غير متتالية تغطي المجموعات العضلية الكبرى (Kanaley et al., 2016; Colberg et al., 2010). ويُشترط لسلامة المرضى إجراء فحص طبي أولي وضبط جرعات الأدوية بما يتوافق مع مواعيد التمرين لتجنب هبوط السكر، مع البدء بجرعات متدرجة وتجنب التمارين عالية الشدة غير المُراقبة. وتؤكد الدراسات العربية أن برامج الترويح والتدريب المنظم المطبقة على المرضى حققت تحسنات معنوية في ضبط السكر والأنسولين (الكيتاني؛ دراسة البرنامج الترويحي من موقع المتميز).</w:t>
      </w:r>
    </w:p>
    <w:p>
      <w:pPr>
        <w:pStyle w:val="Heading1"/>
        <w:bidi/>
        <w:spacing w:after="300" w:before="480" w:line="460" w:lineRule="atLeast"/>
        <w:jc w:val="center"/>
      </w:pPr>
      <w:bookmarkStart w:id="100018" w:name="_Toc100018"/>
      <w:r>
        <w:rPr>
          <w:rFonts w:ascii="Times New Roman" w:cs="Simplified Arabic" w:hAnsi="Times New Roman"/>
          <w:b/>
          <w:bCs/>
          <w:i w:val="false"/>
          <w:iCs w:val="false"/>
          <w:color w:val="000000"/>
          <w:sz w:val="36"/>
          <w:szCs w:val="36"/>
          <w:rtl/>
        </w:rPr>
        <w:t xml:space="preserve">الدراسات السابقة</w:t>
      </w:r>
      <w:bookmarkEnd w:id="100018"/>
    </w:p>
    <w:p>
      <w:pPr>
        <w:pStyle w:val="Heading2"/>
        <w:bidi/>
        <w:spacing w:after="200" w:before="360" w:line="420" w:lineRule="atLeast"/>
        <w:jc w:val="start"/>
      </w:pPr>
      <w:bookmarkStart w:id="100019" w:name="_Toc100019"/>
      <w:r>
        <w:rPr>
          <w:rFonts w:ascii="Times New Roman" w:cs="Simplified Arabic" w:hAnsi="Times New Roman"/>
          <w:b/>
          <w:bCs/>
          <w:i w:val="false"/>
          <w:iCs w:val="false"/>
          <w:color w:val="000000"/>
          <w:sz w:val="32"/>
          <w:szCs w:val="32"/>
          <w:rtl/>
        </w:rPr>
        <w:t xml:space="preserve">الدراسة الأولى: دراسة الكيتاني (دار المنظومة)</w:t>
      </w:r>
      <w:bookmarkEnd w:id="10001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استهدفت دراسة الكيتاني قياس أثر برنامج تدريبي هوائي مقترح على مستوى السكر التراكمي ومقاومة الإنسولين وبعض المؤشرات المرتبطة لدى مصابات السكري من النوع الثاني في سلطنة عمان. وقد تضمنت الدراسة تصميماً شبه تجريبي بمجموعتين تجريبية وضابطة وقياسين قبلي وبعدي، وخلصت إلى وجود أثر إيجابي دال للبرنامج الهوائي في خفض السكر التراكمي وتحسين مقاومة الإنسولين لدى المشاركات. وتتميز الدراسة بقربها من منهجية البحث الحالي ومتغيراته، مما يجعلها مرجعاً مباشراً لصياغة الفرضيات واختيار المقاييس.</w:t>
      </w:r>
    </w:p>
    <w:p>
      <w:pPr>
        <w:pStyle w:val="Heading2"/>
        <w:bidi/>
        <w:spacing w:after="200" w:before="360" w:line="420" w:lineRule="atLeast"/>
        <w:jc w:val="start"/>
      </w:pPr>
      <w:bookmarkStart w:id="100020" w:name="_Toc100020"/>
      <w:r>
        <w:rPr>
          <w:rFonts w:ascii="Times New Roman" w:cs="Simplified Arabic" w:hAnsi="Times New Roman"/>
          <w:b/>
          <w:bCs/>
          <w:i w:val="false"/>
          <w:iCs w:val="false"/>
          <w:color w:val="000000"/>
          <w:sz w:val="32"/>
          <w:szCs w:val="32"/>
          <w:rtl/>
        </w:rPr>
        <w:t xml:space="preserve">الدراسة الثانية: هولتن وزملاؤه (2004)</w:t>
      </w:r>
      <w:bookmarkEnd w:id="10002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أجرى هولتن وزملاؤه تجربة تدريب قوة لدى مرضى سكري النمط الثاني لمدة ستة أسابيع بثلاث حصص أسبوعياً، وأظهرت النتائج زيادة دالة في نقل الجلوكوز بوساطة الإنسولين لدى المجموعة المدربة مقارنة بالمجموعة الضابطة، مع ارتفاع محتوى ناقل GLUT4 وتحسن إشارات الإنسولين في العضلة الهيكلية. وتمثل هذه الدراسة الأساس الآلي الأهم لإدخال مكوّن الجهد العضلي في البرنامج المقترح لهذا البحث، وتبرر الجمع بين النمطين بدلاً من الاكتفاء بالهوائي.</w:t>
      </w:r>
    </w:p>
    <w:p>
      <w:pPr>
        <w:pStyle w:val="Heading2"/>
        <w:bidi/>
        <w:spacing w:after="200" w:before="360" w:line="420" w:lineRule="atLeast"/>
        <w:jc w:val="start"/>
      </w:pPr>
      <w:bookmarkStart w:id="100021" w:name="_Toc100021"/>
      <w:r>
        <w:rPr>
          <w:rFonts w:ascii="Times New Roman" w:cs="Simplified Arabic" w:hAnsi="Times New Roman"/>
          <w:b/>
          <w:bCs/>
          <w:i w:val="false"/>
          <w:iCs w:val="false"/>
          <w:color w:val="000000"/>
          <w:sz w:val="32"/>
          <w:szCs w:val="32"/>
          <w:rtl/>
        </w:rPr>
        <w:t xml:space="preserve">الدراسة الثالثة: أومبير وزملاؤه (2011)</w:t>
      </w:r>
      <w:bookmarkEnd w:id="10002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تناولت الدراسة تحليلاً شاملاً لبرامج النشاط البدني المنظم لدى مرضى السكري النمط الثاني، وكشفت أن البرامج التدريبية المنظمة تخفض السكر التراكمي بمقدار أكبر من النصائح العامة للنشاط البدني، وأن أكبر فائدة تتحقق عند ممارسة أكثر من 150 دقيقة أسبوعياً من التدريب المنظم. وقدمت الدراسة مبررًا كمياً لضبط الجرعة الأسبوعية الكلية للبرنامج المقترح في هذا البحث، وأسست لمبدأ الجرعة والاستجابة الذي يوجه تصميم الصعود التدريبي.</w:t>
      </w:r>
    </w:p>
    <w:p>
      <w:pPr>
        <w:pStyle w:val="Heading2"/>
        <w:bidi/>
        <w:spacing w:after="200" w:before="360" w:line="420" w:lineRule="atLeast"/>
        <w:jc w:val="start"/>
      </w:pPr>
      <w:bookmarkStart w:id="100022" w:name="_Toc100022"/>
      <w:r>
        <w:rPr>
          <w:rFonts w:ascii="Times New Roman" w:cs="Simplified Arabic" w:hAnsi="Times New Roman"/>
          <w:b/>
          <w:bCs/>
          <w:i w:val="false"/>
          <w:iCs w:val="false"/>
          <w:color w:val="000000"/>
          <w:sz w:val="32"/>
          <w:szCs w:val="32"/>
          <w:rtl/>
        </w:rPr>
        <w:t xml:space="preserve">الدراسة الرابعة: رامزاني وزملاؤه (2023)</w:t>
      </w:r>
      <w:bookmarkEnd w:id="10002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قارنت دراسة رامزاني أثر أنماط مختلفة من التمارين على مؤشرات ضبط السكر لدى مرضى السكري، وأظهرت أن التمارين الهوائية وتدريبات الشدة المتقطعة العالية حققت أسرع آثار خافضة للسكر خلال فترة المتابعة. وتقدم هذه الدراسة رؤية مقارنة بين أنماط التدريب تخدم البحث الحالي في تبرير اختيار الشدات المعتدلة إلى المتوسطة، وهو ما يناسب طبيعة الفئة العمرية المستهدفة وأمان التطبيق لدى المرضى.</w:t>
      </w:r>
    </w:p>
    <w:p>
      <w:pPr>
        <w:pStyle w:val="Heading2"/>
        <w:bidi/>
        <w:spacing w:after="200" w:before="360" w:line="420" w:lineRule="atLeast"/>
        <w:jc w:val="start"/>
      </w:pPr>
      <w:bookmarkStart w:id="100023" w:name="_Toc100023"/>
      <w:r>
        <w:rPr>
          <w:rFonts w:ascii="Times New Roman" w:cs="Simplified Arabic" w:hAnsi="Times New Roman"/>
          <w:b/>
          <w:bCs/>
          <w:i w:val="false"/>
          <w:iCs w:val="false"/>
          <w:color w:val="000000"/>
          <w:sz w:val="32"/>
          <w:szCs w:val="32"/>
          <w:rtl/>
        </w:rPr>
        <w:t xml:space="preserve">تعقيب عام على الدراسات السابقة</w:t>
      </w:r>
      <w:bookmarkEnd w:id="10002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تتقاطع الدراسات السابقة في تأكيدها الأثر الإيجابي للتدريب المنظم على مؤشرات ضبط السكر لدى مرضى النمط الثاني، وتتفاوت في الأنماط المستخدمة ومدد التطبيق والفئات المستهدفة، وهو ما يبرز موقع البحث الحالي الذي يجمع بين النمط الهوائي والنمط المقاوم في برنامج موحد مضبوط الجرعة ضمن البيئة العربية، مع استخدام منظومة قياس متكاملة تشمل السكر التراكمي ومقاومة الإنسولين والقوة العضلية. كما تفتح الدراسات السابقة فرصاً للتحقق من ثبات النتائج عبر ثقافات وعينات مختلفة، وهو ما يخدم صياغة توقعات البحث وتفسير نتائجه مستقبلاً في ضوء المكتسبات السابقة.</w:t>
      </w:r>
    </w:p>
    <w:p>
      <w:pPr>
        <w:pStyle w:val="Heading1"/>
        <w:bidi/>
        <w:spacing w:after="300" w:before="480" w:line="460" w:lineRule="atLeast"/>
        <w:jc w:val="center"/>
      </w:pPr>
      <w:bookmarkStart w:id="100024" w:name="_Toc100024"/>
      <w:r>
        <w:rPr>
          <w:rFonts w:ascii="Times New Roman" w:cs="Simplified Arabic" w:hAnsi="Times New Roman"/>
          <w:b/>
          <w:bCs/>
          <w:i w:val="false"/>
          <w:iCs w:val="false"/>
          <w:color w:val="000000"/>
          <w:sz w:val="36"/>
          <w:szCs w:val="36"/>
          <w:rtl/>
        </w:rPr>
        <w:t xml:space="preserve">منهج البحث وإجراءاته</w:t>
      </w:r>
      <w:bookmarkEnd w:id="100024"/>
    </w:p>
    <w:p>
      <w:pPr>
        <w:pStyle w:val="Heading2"/>
        <w:bidi/>
        <w:spacing w:after="200" w:before="360" w:line="420" w:lineRule="atLeast"/>
        <w:jc w:val="start"/>
      </w:pPr>
      <w:bookmarkStart w:id="100025" w:name="_Toc100025"/>
      <w:r>
        <w:rPr>
          <w:rFonts w:ascii="Times New Roman" w:cs="Simplified Arabic" w:hAnsi="Times New Roman"/>
          <w:b/>
          <w:bCs/>
          <w:i w:val="false"/>
          <w:iCs w:val="false"/>
          <w:color w:val="000000"/>
          <w:sz w:val="32"/>
          <w:szCs w:val="32"/>
          <w:rtl/>
        </w:rPr>
        <w:t xml:space="preserve">منهج البحث</w:t>
      </w:r>
      <w:bookmarkEnd w:id="10002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اعتمد البحث المنهج شبه التجريبي بتصميم المجموعتين (تجريبية وضابطة) والقياسين القبلي والبعدي، وهو المنهج الأنسب للدراسات التدريبية التي يصعب فيها التوزيع العشوائي الكامل ويُضبط فيها المتغير المستقل (البرنامج التدريبي) لرصد أثره في المتغيرات التابعة. ويلتزم التصميم بشروط التوازن بين المجموعتين في القياس القبلي لكل المتغيرات قبل بدء التطبيق.</w:t>
      </w:r>
    </w:p>
    <w:p>
      <w:pPr>
        <w:pStyle w:val="Heading2"/>
        <w:bidi/>
        <w:spacing w:after="200" w:before="360" w:line="420" w:lineRule="atLeast"/>
        <w:jc w:val="start"/>
      </w:pPr>
      <w:bookmarkStart w:id="100026" w:name="_Toc100026"/>
      <w:r>
        <w:rPr>
          <w:rFonts w:ascii="Times New Roman" w:cs="Simplified Arabic" w:hAnsi="Times New Roman"/>
          <w:b/>
          <w:bCs/>
          <w:i w:val="false"/>
          <w:iCs w:val="false"/>
          <w:color w:val="000000"/>
          <w:sz w:val="32"/>
          <w:szCs w:val="32"/>
          <w:rtl/>
        </w:rPr>
        <w:t xml:space="preserve">مجتمع البحث وعينته</w:t>
      </w:r>
      <w:bookmarkEnd w:id="10002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يتكون مجتمع البحث من مرضى السكري من النوع الثاني الملتحقين بالعيادة المرجعية في المكان المحدد بالحدود المكانية خلال فترة إجراء البحث. وتُختار عينة قصدية من 30 مريضاً على وجه الخصوص، يوزعون بالتساوي على مجموعتين: مجموعة تجريبية (15 مريضاً) تتلقى البرنامج التدريبي المقترح، ومجموعة ضابطة (15 مريضاً) تمارس حياتها المعتادة دون تدريب منظم. ويُشترط في أفراد العينة استقرار الجرعات الدوائية قبل البدء بأربعة أسابيع على الأقل، وعدم ممارسة نشاط بدني منظم، والحصول على تصريح طبي للاشتراك.</w:t>
      </w:r>
    </w:p>
    <w:p>
      <w:pPr>
        <w:pStyle w:val="Heading2"/>
        <w:bidi/>
        <w:spacing w:after="200" w:before="360" w:line="420" w:lineRule="atLeast"/>
        <w:jc w:val="start"/>
      </w:pPr>
      <w:bookmarkStart w:id="100027" w:name="_Toc100027"/>
      <w:r>
        <w:rPr>
          <w:rFonts w:ascii="Times New Roman" w:cs="Simplified Arabic" w:hAnsi="Times New Roman"/>
          <w:b/>
          <w:bCs/>
          <w:i w:val="false"/>
          <w:iCs w:val="false"/>
          <w:color w:val="000000"/>
          <w:sz w:val="32"/>
          <w:szCs w:val="32"/>
          <w:rtl/>
        </w:rPr>
        <w:t xml:space="preserve">أدوات جمع البيانات</w:t>
      </w:r>
      <w:bookmarkEnd w:id="10002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تستخدم الباحثة/الباحث أدوات الآتية لجمع البيانات بعد التحقق من صدقها وثباتها:</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1. تحاليل الدم المخبرية لقياس السكر التراكمي والسكر الصائم والإنسولين الصائمي لحساب مقاومة الإنسولين HOMA-IR.</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2. مقياس القوة اليدوية الدينامومترية للقوة العضلية للجسم العلوي، واختبار القوة للجسم السفلي المعتمد في مختبرات علم الحركة.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3. أجهزة قياس الطول والوزن لحساب مؤشر كتلة الجسم، وساعة قياس النبض لضبط الشدة أثناء الحصص.</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4. استمارة بيانات شخصية وصحية موحدة، ونموذج الموافقة العلمية المستنيرة المعتمدة من لجنة أخلاقيات البحث.</w:t>
      </w:r>
    </w:p>
    <w:p>
      <w:pPr>
        <w:pStyle w:val="Heading2"/>
        <w:bidi/>
        <w:spacing w:after="200" w:before="360" w:line="420" w:lineRule="atLeast"/>
        <w:jc w:val="start"/>
      </w:pPr>
      <w:bookmarkStart w:id="100028" w:name="_Toc100028"/>
      <w:r>
        <w:rPr>
          <w:rFonts w:ascii="Times New Roman" w:cs="Simplified Arabic" w:hAnsi="Times New Roman"/>
          <w:b/>
          <w:bCs/>
          <w:i w:val="false"/>
          <w:iCs w:val="false"/>
          <w:color w:val="000000"/>
          <w:sz w:val="32"/>
          <w:szCs w:val="32"/>
          <w:rtl/>
        </w:rPr>
        <w:t xml:space="preserve">البرنامج التدريبي المقترح</w:t>
      </w:r>
      <w:bookmarkEnd w:id="10002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يمتد البرنامج على 12 أسبوعاً بمعدل ثلاث حصص أسبوعياً غير متتالية، وتقوم كل حصة على 10 دقائق إحماء عام و30 إلى 35 دقيقة للجزء الرئيس ثم 10 دقائق تعافٍ، بواقع حصتان هوائيتان وحصة مقاومة أسبوعياً مع تحول تدريجي إلى مزج النمطين في الثلث الأخير من البرنامج. وتبدأ الشدة عند 40 في المائة من الاحتياطي القلبي للجزء الهوائي و40 في المائة من الحد الأقصى للمقاومة، وتتدرج حتى 60 في المائة لكل منهما بنهاية البرنامج وفق مبدأ الزيادة التدريجية، مع مراقبة أعراض هبوط السكر وتوثيق الجرعات في سجل حصة موحد.</w:t>
      </w:r>
    </w:p>
    <w:p>
      <w:pPr>
        <w:pStyle w:val="Heading2"/>
        <w:bidi/>
        <w:spacing w:after="200" w:before="360" w:line="420" w:lineRule="atLeast"/>
        <w:jc w:val="start"/>
      </w:pPr>
      <w:bookmarkStart w:id="100029" w:name="_Toc100029"/>
      <w:r>
        <w:rPr>
          <w:rFonts w:ascii="Times New Roman" w:cs="Simplified Arabic" w:hAnsi="Times New Roman"/>
          <w:b/>
          <w:bCs/>
          <w:i w:val="false"/>
          <w:iCs w:val="false"/>
          <w:color w:val="000000"/>
          <w:sz w:val="32"/>
          <w:szCs w:val="32"/>
          <w:rtl/>
        </w:rPr>
        <w:t xml:space="preserve">الأساليب الإحصائية</w:t>
      </w:r>
      <w:bookmarkEnd w:id="10002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تُعالج البيانات باستخدام حزمة الإحصاء الاجتماعي SPSS عبر حساب المتوسطات الحسابية والانحرافات المعيارية واختبار (ت) للعينات المرتبطة لمقارنة القياسين القبلي والبعدي داخل كل مجموعة، واختبار (ت) للعينات المستقلة لمقارنة الفروق بين المجموعتين في القياس البعدي، مع تعيين مستوى الدلالة عند 0.05. وتُعرض النتائج في جداول ثلاثية الخطوط مع تعليق علمي لكل جدول يربط النتيجة بالإطار النظري والدراسات السابقة.</w:t>
      </w:r>
    </w:p>
    <w:p>
      <w:pPr>
        <w:pStyle w:val="Heading1"/>
        <w:bidi/>
        <w:spacing w:after="300" w:before="480" w:line="460" w:lineRule="atLeast"/>
        <w:jc w:val="center"/>
      </w:pPr>
      <w:bookmarkStart w:id="100030" w:name="_Toc100030"/>
      <w:r>
        <w:rPr>
          <w:rFonts w:ascii="Times New Roman" w:cs="Simplified Arabic" w:hAnsi="Times New Roman"/>
          <w:b/>
          <w:bCs/>
          <w:i w:val="false"/>
          <w:iCs w:val="false"/>
          <w:color w:val="000000"/>
          <w:sz w:val="36"/>
          <w:szCs w:val="36"/>
          <w:rtl/>
        </w:rPr>
        <w:t xml:space="preserve">الجدول الزمني المقترح لتنفيذ البحث</w:t>
      </w:r>
      <w:bookmarkEnd w:id="100030"/>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الخطة الزمنية لتنفيذ مراحل البحث</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المرحلة</w:t>
            </w:r>
          </w:p>
        </w:tc>
        <w:tc>
          <w:tcPr>
            <w:tcW w:type="pct" w:w="6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الإجراءات</w:t>
            </w:r>
          </w:p>
        </w:tc>
        <w:tc>
          <w:tcPr>
            <w:tcW w:type="pct" w:w="2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الفترة الزمنية</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الأولى</w:t>
            </w:r>
          </w:p>
        </w:tc>
        <w:tc>
          <w:tcPr>
            <w:tcW w:type="pct" w:w="6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تثبيت الخطة البحثية، وحصر المراجع، وإعداد الأدوات والبرنامج التدريبي</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1 – الشهر 2】</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الثانية</w:t>
            </w:r>
          </w:p>
        </w:tc>
        <w:tc>
          <w:tcPr>
            <w:tcW w:type="pct" w:w="6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استصدار الموافقات الأخلاقية والطبية، وتكوين العينة، وإجراء القياس القبلي والتحاليل</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3】</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الثالثة</w:t>
            </w:r>
          </w:p>
        </w:tc>
        <w:tc>
          <w:tcPr>
            <w:tcW w:type="pct" w:w="6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التطبيق الميداني للبرنامج التدريبي (12 أسبوعاً) بمتابعة السجل الحصصي</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4 – الشهر 6】</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الرابعة</w:t>
            </w:r>
          </w:p>
        </w:tc>
        <w:tc>
          <w:tcPr>
            <w:tcW w:type="pct" w:w="6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القياس البعدي والتحاليل المخبرية، ومعالجة البيانات إحصائياً</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7】</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الخامسة</w:t>
            </w:r>
          </w:p>
        </w:tc>
        <w:tc>
          <w:tcPr>
            <w:tcW w:type="pct" w:w="6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كتابة الأطروحة النهائية ومناقشتها أمام اللجنة</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8】</w:t>
            </w:r>
          </w:p>
        </w:tc>
      </w:tr>
    </w:tbl>
    <w:p>
      <w:pPr>
        <w:pStyle w:val="Heading1"/>
        <w:bidi/>
        <w:spacing w:after="300" w:before="480" w:line="460" w:lineRule="atLeast"/>
        <w:jc w:val="center"/>
      </w:pPr>
      <w:bookmarkStart w:id="100031" w:name="_Toc100031"/>
      <w:r>
        <w:rPr>
          <w:rFonts w:ascii="Times New Roman" w:cs="Simplified Arabic" w:hAnsi="Times New Roman"/>
          <w:b/>
          <w:bCs/>
          <w:i w:val="false"/>
          <w:iCs w:val="false"/>
          <w:color w:val="000000"/>
          <w:sz w:val="36"/>
          <w:szCs w:val="36"/>
          <w:rtl/>
        </w:rPr>
        <w:t xml:space="preserve">المراجع</w:t>
      </w:r>
      <w:bookmarkEnd w:id="100031"/>
    </w:p>
    <w:p>
      <w:pPr>
        <w:pStyle w:val="Heading2"/>
        <w:bidi/>
        <w:spacing w:after="200" w:before="360" w:line="420" w:lineRule="atLeast"/>
        <w:jc w:val="start"/>
      </w:pPr>
      <w:bookmarkStart w:id="100032" w:name="_Toc100032"/>
      <w:r>
        <w:rPr>
          <w:rFonts w:ascii="Times New Roman" w:cs="Simplified Arabic" w:hAnsi="Times New Roman"/>
          <w:b/>
          <w:bCs/>
          <w:i w:val="false"/>
          <w:iCs w:val="false"/>
          <w:color w:val="000000"/>
          <w:sz w:val="32"/>
          <w:szCs w:val="32"/>
          <w:rtl/>
        </w:rPr>
        <w:t xml:space="preserve">أولًا: المراجع العربية</w:t>
      </w:r>
      <w:bookmarkEnd w:id="100032"/>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33" w:name="_Toc100033"/>
      <w:r>
        <w:rPr>
          <w:rFonts w:ascii="Times New Roman" w:cs="Simplified Arabic" w:hAnsi="Times New Roman"/>
          <w:b/>
          <w:bCs/>
          <w:i w:val="false"/>
          <w:iCs w:val="false"/>
          <w:color w:val="000000"/>
          <w:sz w:val="32"/>
          <w:szCs w:val="32"/>
          <w:rtl/>
        </w:rPr>
        <w:t xml:space="preserve">ثانيًا: المراجع الأجنبية</w:t>
      </w:r>
      <w:bookmarkEnd w:id="100033"/>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النموذج الأول</dc:title>
  <dc:creator>قسم التربية الرياضية</dc:creator>
  <cp:lastModifiedBy>Un-named</cp:lastModifiedBy>
  <cp:revision>1</cp:revision>
  <dcterms:created xsi:type="dcterms:W3CDTF">2026-09-30T16:08:18.402Z</dcterms:created>
  <dcterms:modified xsi:type="dcterms:W3CDTF">2026-09-30T16:08:18.402Z</dcterms:modified>
</cp:coreProperties>
</file>

<file path=docProps/custom.xml><?xml version="1.0" encoding="utf-8"?>
<Properties xmlns="http://schemas.openxmlformats.org/officeDocument/2006/custom-properties" xmlns:vt="http://schemas.openxmlformats.org/officeDocument/2006/docPropsVTypes"/>
</file>