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700" w:line="520" w:lineRule="atLeast"/>
        <w:jc w:val="center"/>
      </w:pPr>
      <w:r>
        <w:rPr>
          <w:rFonts w:ascii="Times New Roman" w:cs="Simplified Arabic" w:hAnsi="Times New Roman"/>
          <w:b/>
          <w:bCs/>
          <w:i w:val="false"/>
          <w:iCs w:val="false"/>
          <w:color w:val="000000"/>
          <w:sz w:val="44"/>
          <w:szCs w:val="44"/>
          <w:rtl/>
        </w:rPr>
        <w:t xml:space="preserve">【اسم الجامعة】</w:t>
      </w:r>
    </w:p>
    <w:p>
      <w:pPr>
        <w:bidi/>
        <w:spacing w:after="500" w:line="360" w:lineRule="atLeast"/>
        <w:jc w:val="center"/>
      </w:pPr>
      <w:r>
        <w:rPr>
          <w:rFonts w:ascii="Times New Roman" w:cs="Traditional Arabic" w:hAnsi="Times New Roman"/>
          <w:b w:val="false"/>
          <w:bCs w:val="false"/>
          <w:i w:val="false"/>
          <w:iCs w:val="false"/>
          <w:color w:val="000000"/>
          <w:sz w:val="28"/>
          <w:szCs w:val="28"/>
          <w:rtl/>
        </w:rPr>
        <w:t xml:space="preserve">كلية التربية الرياضية – قسم 【اسم القسم】</w:t>
      </w:r>
    </w:p>
    <w:p>
      <w:pPr>
        <w:bidi/>
        <w:spacing w:after="700" w:line="420" w:lineRule="atLeast"/>
        <w:jc w:val="center"/>
      </w:pPr>
      <w:r>
        <w:rPr>
          <w:rFonts w:ascii="Times New Roman" w:cs="Simplified Arabic" w:hAnsi="Times New Roman"/>
          <w:b/>
          <w:bCs/>
          <w:i w:val="false"/>
          <w:iCs w:val="false"/>
          <w:color w:val="000000"/>
          <w:sz w:val="34"/>
          <w:szCs w:val="34"/>
          <w:rtl/>
        </w:rPr>
        <w:t xml:space="preserve">أطروحة تخرج بصيغة IMRAD قابلة للنشر العلمي</w:t>
      </w:r>
    </w:p>
    <w:p>
      <w:pPr>
        <w:bidi/>
        <w:spacing w:after="160" w:line="340" w:lineRule="atLeast"/>
        <w:jc w:val="center"/>
      </w:pPr>
      <w:r>
        <w:rPr>
          <w:rFonts w:ascii="Times New Roman" w:cs="Traditional Arabic" w:hAnsi="Times New Roman"/>
          <w:b w:val="false"/>
          <w:bCs w:val="false"/>
          <w:i w:val="false"/>
          <w:iCs w:val="false"/>
          <w:color w:val="333333"/>
          <w:sz w:val="26"/>
          <w:szCs w:val="26"/>
          <w:rtl/>
        </w:rPr>
        <w:t xml:space="preserve">عنوان البحث</w:t>
      </w:r>
    </w:p>
    <w:p>
      <w:pPr>
        <w:bidi/>
        <w:spacing w:after="100" w:line="500" w:lineRule="atLeast"/>
        <w:jc w:val="center"/>
      </w:pPr>
      <w:r>
        <w:rPr>
          <w:rFonts w:ascii="Times New Roman" w:cs="Simplified Arabic" w:hAnsi="Times New Roman"/>
          <w:b/>
          <w:bCs/>
          <w:i w:val="false"/>
          <w:iCs w:val="false"/>
          <w:color w:val="000000"/>
          <w:sz w:val="40"/>
          <w:szCs w:val="40"/>
          <w:rtl/>
        </w:rPr>
        <w:t xml:space="preserve">تأثير الجهد البدني والعضلي</w:t>
      </w:r>
    </w:p>
    <w:p>
      <w:pPr>
        <w:bidi/>
        <w:spacing w:after="200" w:line="500" w:lineRule="atLeast"/>
        <w:jc w:val="center"/>
      </w:pPr>
      <w:r>
        <w:rPr>
          <w:rFonts w:ascii="Times New Roman" w:cs="Simplified Arabic" w:hAnsi="Times New Roman"/>
          <w:b/>
          <w:bCs/>
          <w:i w:val="false"/>
          <w:iCs w:val="false"/>
          <w:color w:val="000000"/>
          <w:sz w:val="40"/>
          <w:szCs w:val="40"/>
          <w:rtl/>
        </w:rPr>
        <w:t xml:space="preserve">على مرضى السكري</w:t>
      </w:r>
    </w:p>
    <w:p>
      <w:pPr>
        <w:spacing w:after="700" w:line="320" w:lineRule="atLeast"/>
        <w:jc w:val="center"/>
      </w:pPr>
      <w:r>
        <w:rPr>
          <w:rFonts w:ascii="Times New Roman" w:cs="Traditional Arabic" w:hAnsi="Times New Roman"/>
          <w:b w:val="false"/>
          <w:bCs w:val="false"/>
          <w:i/>
          <w:iCs/>
          <w:color w:val="000000"/>
          <w:sz w:val="24"/>
          <w:szCs w:val="24"/>
        </w:rPr>
        <w:t xml:space="preserve">The Effect of Physical and Muscular Exertion on Patients with Diabetes Mellitus</w:t>
      </w:r>
    </w:p>
    <w:tbl>
      <w:tblPr>
        <w:bidiVisual/>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إعداد الطالب:</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【اسم الطالب】</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تحت إشراف:</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【اسم المشرف】</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العام الجامعي:</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【20 / 20】</w:t>
            </w:r>
          </w:p>
        </w:tc>
      </w:tr>
    </w:tbl>
    <w:p>
      <w:pPr>
        <w:bidi/>
        <w:spacing w:before="800" w:line="360" w:lineRule="atLeast"/>
        <w:jc w:val="center"/>
      </w:pPr>
      <w:r>
        <w:rPr>
          <w:rFonts w:ascii="Times New Roman" w:cs="Traditional Arabic" w:hAnsi="Times New Roman"/>
          <w:b w:val="false"/>
          <w:bCs w:val="false"/>
          <w:i w:val="false"/>
          <w:iCs w:val="false"/>
          <w:color w:val="000000"/>
          <w:sz w:val="28"/>
          <w:szCs w:val="28"/>
          <w:rtl/>
        </w:rPr>
        <w:t xml:space="preserve">【الشهر والسنة】</w:t>
      </w:r>
    </w:p>
    <w:p>
      <w:pPr>
        <w:sectPr>
          <w:pgSz w:w="11906" w:h="16838" w:orient="portrait"/>
          <w:pgMar w:top="1440" w:right="1417" w:bottom="1440" w:left="1701" w:header="850" w:footer="992" w:gutter="0"/>
          <w:docGrid w:linePitch="360"/>
        </w:sectPr>
      </w:pPr>
    </w:p>
    <w:p>
      <w:pPr>
        <w:bidi/>
        <w:spacing w:after="300" w:before="200" w:line="460" w:lineRule="atLeast"/>
        <w:jc w:val="1"/>
      </w:pPr>
      <w:r>
        <w:rPr>
          <w:rFonts w:ascii="Times New Roman" w:cs="Traditional Arabic" w:hAnsi="Times New Roman"/>
          <w:b/>
          <w:bCs/>
          <w:i w:val="false"/>
          <w:iCs w:val="false"/>
          <w:color w:val="000000"/>
          <w:sz w:val="36"/>
          <w:szCs w:val="36"/>
          <w:rtl/>
        </w:rPr>
        <w:t xml:space="preserve">المستخلص</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يهدف البحث إلى التعرف على تأثير برنامج تدريبي مقترح يجمع بين الجهد البدني الهوائي والجهد العضلي المقاوم في مستوى السكر التراكمي وبعض المؤشرات الفسيولوجية والعضلية لدى مرضى السكري من النوع الثاني. واعتمد البحث المنهج شبه التجريبي على عينة قصدية من 30 مريضاً تتراوح أعمارهم بين 40 و60 عاماً وزعت بالتساوي على مجموعتين تجريبية وضابطة، إذ طُبق على المجموعة التجريبية برنامج تدريبي مدته 12 أسبوعاً بمعدل ثلاث حصص أسبوعياً بواقع 150 دقيقة أو أكثر أسبوعياً وبتدرج شدة من 40 إلى 60 في المائة.</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تؤكد الأدبيات المنشورة أن البرامج التدريبية المنظمة تخفض السكر التراكمي بمتوسط يقارب 0.67 في المائة وأن الجمع بين النمطين الهوائي والمقاوم يحقق أفضلية فوق أي نمط منفرد (Umpierre et al., 2011; Kanaley et al., 2016)، كما ثبت أن تدريب المقاومة يرفع نقل الجلوكوز بوساطة الإنسولين ومحتوى ناقل GLUT4 في العضلة الهيكلية (Holten et al., 2004). وعليه يتوقع البحث انخفاضاً دالاً إحصائياً في السكر التراكمي والسكر الصائم ومقاومة الإنسولين وتحسناً في القوة العضلية ومؤشر كتلة الجسم لدى المجموعة التجريبية مقارنة بالضابطة.</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تكمن أهمية البحث في تقديم جرعة تدريبية مضبوطة علمياً قابلة للتطبيق في المراكز الصحية، وإثراء المكتبة العربية بدراسة ميدانية في مجال الرياضة والصحة. وتعتمد الكلمات المفتاحية الآتية:</w:t>
      </w:r>
    </w:p>
    <w:p>
      <w:pPr>
        <w:bidi/>
        <w:spacing w:after="120" w:line="360" w:lineRule="atLeast"/>
        <w:jc w:val="3"/>
      </w:pPr>
      <w:r>
        <w:rPr>
          <w:rFonts w:ascii="Times New Roman" w:cs="Traditional Arabic" w:hAnsi="Times New Roman"/>
          <w:b/>
          <w:bCs/>
          <w:i w:val="false"/>
          <w:iCs w:val="false"/>
          <w:color w:val="000000"/>
          <w:sz w:val="32"/>
          <w:szCs w:val="32"/>
          <w:rtl/>
        </w:rPr>
        <w:t xml:space="preserve">الكلمات المفتاحية: </w:t>
      </w:r>
      <w:r>
        <w:rPr>
          <w:rFonts w:ascii="Times New Roman" w:cs="Traditional Arabic" w:hAnsi="Times New Roman"/>
          <w:b w:val="false"/>
          <w:bCs w:val="false"/>
          <w:i w:val="false"/>
          <w:iCs w:val="false"/>
          <w:color w:val="000000"/>
          <w:sz w:val="32"/>
          <w:szCs w:val="32"/>
          <w:rtl/>
        </w:rPr>
        <w:t xml:space="preserve">الجهد البدني؛ الجهد العضلي؛ تمارين المقاومة؛ مرض السكري النمط الثاني؛ السكر التراكمي؛ مقاومة الإنسولين.</w:t>
      </w:r>
      <w:r>
        <w:br w:type="page"/>
      </w:r>
    </w:p>
    <w:p>
      <w:pPr>
        <w:spacing w:after="300" w:before="200" w:line="460" w:lineRule="atLeast"/>
        <w:jc w:val="1"/>
      </w:pPr>
      <w:r>
        <w:rPr>
          <w:rFonts w:ascii="Times New Roman" w:cs="Traditional Arabic" w:hAnsi="Times New Roman"/>
          <w:b/>
          <w:bCs/>
          <w:i w:val="false"/>
          <w:iCs w:val="false"/>
          <w:color w:val="000000"/>
          <w:sz w:val="36"/>
          <w:szCs w:val="36"/>
        </w:rPr>
        <w:t xml:space="preserve">Abstract</w:t>
      </w:r>
    </w:p>
    <w:p>
      <w:pPr>
        <w:spacing w:after="120" w:before="0" w:line="312"/>
        <w:jc w:val="left"/>
      </w:pPr>
      <w:r>
        <w:rPr>
          <w:rFonts w:ascii="Times New Roman" w:cs="Traditional Arabic" w:hAnsi="Times New Roman"/>
          <w:b w:val="false"/>
          <w:bCs w:val="false"/>
          <w:i w:val="false"/>
          <w:iCs w:val="false"/>
          <w:color w:val="000000"/>
          <w:sz w:val="24"/>
          <w:szCs w:val="24"/>
        </w:rPr>
        <w:t xml:space="preserve">This study aims to investigate the effect of a combined training program integrating aerobic physical exertion and muscular resistance exercise on glycosylated hemoglobin (HbA1c) and selected physiological and muscular indicators among patients with type 2 diabetes mellitus. A quasi-experimental design was adopted on a purposive sample of 30 patients aged 40-60 years, equally assigned to an experimental and a control group. The experimental group performed a 12-week program of three sessions per week, totaling 150 minutes or more weekly, with intensity progressing from 40% to 60%.</w:t>
      </w:r>
    </w:p>
    <w:p>
      <w:pPr>
        <w:spacing w:after="120" w:before="0" w:line="312"/>
        <w:jc w:val="3"/>
      </w:pPr>
      <w:r>
        <w:rPr>
          <w:rFonts w:ascii="Times New Roman" w:cs="Traditional Arabic" w:hAnsi="Times New Roman"/>
          <w:b w:val="false"/>
          <w:bCs w:val="false"/>
          <w:i w:val="false"/>
          <w:iCs w:val="false"/>
          <w:color w:val="000000"/>
          <w:sz w:val="24"/>
          <w:szCs w:val="24"/>
        </w:rPr>
        <w:t xml:space="preserve">Published evidence indicates that structured exercise training reduces HbA1c by approximately 0.67%, and that combining aerobic and resistance modalities yields superior outcomes compared with either modality alone (Umpierre et al., 2011; Kanaley et al., 2016). Resistance training has been shown to increase insulin-mediated glucose uptake and GLUT4 content in skeletal muscle (Holten et al., 2004). Accordingly, the study hypothesizes significant reductions in HbA1c, fasting glucose, and insulin resistance, alongside improved muscular strength and body mass index in the experimental group.</w:t>
      </w:r>
    </w:p>
    <w:p>
      <w:pPr>
        <w:spacing w:after="120" w:line="312"/>
        <w:jc w:val="3"/>
      </w:pPr>
      <w:r>
        <w:rPr>
          <w:rFonts w:ascii="Times New Roman" w:cs="Traditional Arabic" w:hAnsi="Times New Roman"/>
          <w:b/>
          <w:bCs/>
          <w:i w:val="false"/>
          <w:iCs w:val="false"/>
          <w:color w:val="000000"/>
          <w:sz w:val="24"/>
          <w:szCs w:val="24"/>
        </w:rPr>
        <w:t xml:space="preserve">Keywords: </w:t>
      </w:r>
      <w:r>
        <w:rPr>
          <w:rFonts w:ascii="Times New Roman" w:cs="Traditional Arabic" w:hAnsi="Times New Roman"/>
          <w:b w:val="false"/>
          <w:bCs w:val="false"/>
          <w:i w:val="false"/>
          <w:iCs w:val="false"/>
          <w:color w:val="000000"/>
          <w:sz w:val="24"/>
          <w:szCs w:val="24"/>
        </w:rPr>
        <w:t xml:space="preserve">Physical Exertion; Muscular Exercise; Resistance Training; Type 2 Diabetes Mellitus; HbA1c; Insulin Resistance.</w:t>
      </w:r>
      <w:r>
        <w:br w:type="page"/>
      </w:r>
    </w:p>
    <w:p>
      <w:pPr>
        <w:bidi/>
        <w:spacing w:after="360" w:before="480" w:line="460" w:lineRule="atLeast"/>
        <w:jc w:val="center"/>
      </w:pPr>
      <w:r>
        <w:rPr>
          <w:rFonts w:ascii="Times New Roman" w:cs="Simplified Arabic" w:hAnsi="Times New Roman"/>
          <w:b/>
          <w:bCs/>
          <w:i w:val="false"/>
          <w:iCs w:val="false"/>
          <w:color w:val="000000"/>
          <w:sz w:val="36"/>
          <w:szCs w:val="36"/>
          <w:rtl/>
        </w:rPr>
        <w:t xml:space="preserve">المحتويات</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المقدمة</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2. الطرائق والمناهج</w:t>
            </w:r>
            <w:r>
              <w:tab/>
            </w:r>
            <w:r>
              <w:fldChar w:fldCharType="begin"/>
            </w:r>
            <w:r>
              <w:instrText xml:space="preserve"> PAGEREF _Toc100001 \h </w:instrText>
            </w:r>
            <w:r>
              <w:fldChar w:fldCharType="separate"/>
            </w:r>
            <w:r>
              <w:t>4</w:t>
            </w:r>
            <w:r>
              <w:fldChar w:fldCharType="end"/>
            </w:r>
          </w:hyperlink>
        </w:p>
        <w:p>
          <w:pPr>
            <w:pStyle w:val="11"/>
            <w:ind w:left="360"/>
            <w:tabs>
              <w:tab w:val="right" w:leader="dot" w:pos="9026"/>
            </w:tabs>
            <w:spacing w:before="120" w:after="60"/>
          </w:pPr>
          <w:hyperlink w:anchor="_Toc100002" w:history="1">
            <w:r>
              <w:rPr>
                <w:rStyle w:val="Hyperlink"/>
              </w:rPr>
              <w:t>2.1 تصميم الدراسة</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2.2 المشاركون</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2.3 البرنامج التدريبي</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2.4 المقاييس والأدوات</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2.5 التحليل الإحصائي</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3. النتائج</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4. المناقشة</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5. الخاتمة</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المراجع</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أولًا: المراجع العربية</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ثانيًا: المراجع الأجنبية</w:t>
            </w:r>
            <w:r>
              <w:tab/>
            </w:r>
            <w:r>
              <w:fldChar w:fldCharType="begin"/>
            </w:r>
            <w:r>
              <w:instrText xml:space="preserve"> PAGEREF _Toc100012 \h </w:instrText>
            </w:r>
            <w:r>
              <w:fldChar w:fldCharType="separate"/>
            </w:r>
            <w:r>
              <w:t>7</w:t>
            </w:r>
            <w:r>
              <w:fldChar w:fldCharType="end"/>
            </w:r>
          </w:hyperlink>
        </w:p>
        <w:p>
          <w:r>
            <w:fldChar w:fldCharType="end"/>
          </w:r>
        </w:p>
      </w:sdtContent>
    </w:sdt>
    <w:p>
      <w:pPr>
        <w:bidi/>
        <w:spacing w:before="200" w:line="300" w:lineRule="atLeast"/>
      </w:pPr>
      <w:r>
        <w:rPr>
          <w:rFonts w:ascii="Times New Roman" w:cs="Traditional Arabic" w:hAnsi="Times New Roman"/>
          <w:b w:val="false"/>
          <w:bCs w:val="false"/>
          <w:i/>
          <w:iCs/>
          <w:color w:val="888888"/>
          <w:sz w:val="18"/>
          <w:szCs w:val="18"/>
          <w:rtl/>
        </w:rPr>
        <w:t xml:space="preserve">ملاحظة: هذا الجدول مولد آليًا برموز الحقول، وبعد أي تعديل انقر بزر الفأرة الأيمن على الجدول واختر تحديث الحقل لضبط أرقام الصفحات.</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bidi/>
        <w:spacing w:after="300" w:before="0" w:line="460" w:lineRule="atLeast"/>
        <w:jc w:val="center"/>
      </w:pPr>
      <w:bookmarkStart w:id="100000" w:name="_Toc100000"/>
      <w:r>
        <w:rPr>
          <w:rFonts w:ascii="Times New Roman" w:cs="Simplified Arabic" w:hAnsi="Times New Roman"/>
          <w:b/>
          <w:bCs/>
          <w:i w:val="false"/>
          <w:iCs w:val="false"/>
          <w:color w:val="000000"/>
          <w:sz w:val="36"/>
          <w:szCs w:val="36"/>
          <w:rtl/>
        </w:rPr>
        <w:t xml:space="preserve">1. المقدمة</w:t>
      </w:r>
      <w:bookmarkEnd w:id="100000"/>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يشكل سكري النمط الثاني نحو تسعين في المائة من حالات السكري عالمياً، ويترتب عليه مضاعفات قلبية وكلوية وعصبية تثقل أنظمة الرعاية الصحية. وقد عززت الأدلة العلمية موقع النشاط البدني بوصفه حجر الأساس في الوقاية من المرض والسيطرة عليه، منذ أن أثبتت دراسة برنامج الوقاية من السكري أن التدخل الحياتي خفض الإصابة بالسكري بنسبة 58 في المائة (Diabetes Prevention Program Research Group, 2002)، وأن هذه الفائدة تزداد وضوحاً كلما أصبح التدريب منظماً ومضبوط الجرعة (Umpierre et al., 2011).</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وعلى مستوى الآلية، يعمل الجهد البدني الهوائي على زيادة استهلاك الجلوكوز عبر مسار مستقل عن الإنسولين، بينما يعمل الجهد العضلي المقاوم على توسيع كتلة العضلة المستهلكة للجلوكوز وتحسين إشارات الإنسولين داخل الخلية عبر رفع محتوى ناقل GLUT4 (Holten et al., 2004). وقد رشحت البيانات المحدثة للجمعية الأمريكية للسكري الجمع بين النمطين في برنامج أسبوعي واحد بوصفه النهج الأكثر فائدة لمرضى النمط الثاني (Kanaley et al., 2016)، وهو التوجيه الذي يتبناه هذا البحث ويختبره ميدانياً في بيئة عربية.</w:t>
      </w:r>
    </w:p>
    <w:p>
      <w:pPr>
        <w:pStyle w:val="Heading1"/>
        <w:bidi/>
        <w:spacing w:after="300" w:before="480" w:line="460" w:lineRule="atLeast"/>
        <w:jc w:val="center"/>
      </w:pPr>
      <w:bookmarkStart w:id="100001" w:name="_Toc100001"/>
      <w:r>
        <w:rPr>
          <w:rFonts w:ascii="Times New Roman" w:cs="Simplified Arabic" w:hAnsi="Times New Roman"/>
          <w:b/>
          <w:bCs/>
          <w:i w:val="false"/>
          <w:iCs w:val="false"/>
          <w:color w:val="000000"/>
          <w:sz w:val="36"/>
          <w:szCs w:val="36"/>
          <w:rtl/>
        </w:rPr>
        <w:t xml:space="preserve">2. الطرائق والمناهج</w:t>
      </w:r>
      <w:bookmarkEnd w:id="100001"/>
    </w:p>
    <w:p>
      <w:pPr>
        <w:pStyle w:val="Heading2"/>
        <w:bidi/>
        <w:spacing w:after="200" w:before="360" w:line="420" w:lineRule="atLeast"/>
        <w:jc w:val="start"/>
      </w:pPr>
      <w:bookmarkStart w:id="100002" w:name="_Toc100002"/>
      <w:r>
        <w:rPr>
          <w:rFonts w:ascii="Times New Roman" w:cs="Simplified Arabic" w:hAnsi="Times New Roman"/>
          <w:b/>
          <w:bCs/>
          <w:i w:val="false"/>
          <w:iCs w:val="false"/>
          <w:color w:val="000000"/>
          <w:sz w:val="32"/>
          <w:szCs w:val="32"/>
          <w:rtl/>
        </w:rPr>
        <w:t xml:space="preserve">2.1 تصميم الدراسة</w:t>
      </w:r>
      <w:bookmarkEnd w:id="10000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اعتمدت الدراسة تصميماً شبه تجريبي بمجموعتين وقياسين قبلي وبعدي، إذ تخضع المجموعة التجريبية للبرنامج التدريبي المقترح بينما تحافظ المجموعة الضابطة على نمط حياتها المعتاد. وتضمن التصميم توازن المجموعتين في القياس القبلي لجميع المتغيرات التابعة، وإبقاء جرعات الأدوية مستقرة خلال فترة التطبيق، وهو شرط منهجي أكدته البيانات العلمية لضبط أثر التدريب دون تداخل دوائي (Colberg et al., 2010).</w:t>
      </w:r>
    </w:p>
    <w:p>
      <w:pPr>
        <w:pStyle w:val="Heading2"/>
        <w:bidi/>
        <w:spacing w:after="200" w:before="360" w:line="420" w:lineRule="atLeast"/>
        <w:jc w:val="start"/>
      </w:pPr>
      <w:bookmarkStart w:id="100003" w:name="_Toc100003"/>
      <w:r>
        <w:rPr>
          <w:rFonts w:ascii="Times New Roman" w:cs="Simplified Arabic" w:hAnsi="Times New Roman"/>
          <w:b/>
          <w:bCs/>
          <w:i w:val="false"/>
          <w:iCs w:val="false"/>
          <w:color w:val="000000"/>
          <w:sz w:val="32"/>
          <w:szCs w:val="32"/>
          <w:rtl/>
        </w:rPr>
        <w:t xml:space="preserve">2.2 المشاركون</w:t>
      </w:r>
      <w:bookmarkEnd w:id="100003"/>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تكونت عينة الدراسة من 30 مريضاً بالسكري النمط الثاني (15 ذكراً و15 أنثى) تتراوح أعمارهم بين 40 و60 عاماً والملتحقين بالعيادة المرجعية المتفق عليها، اختيروا بقصدية وفق شروط الاشتراك: تشخيص طبي مثبت للمرض منذ عامين على الأقل، واستقرار الجرعات الدوائية لمدة أربعة أسابيع قبل التجربة، وغياب مضاعفات تمنع ممارسة الجهد المعتدل، وموافقة طبية وموافقة علمية مستنيرة موقعة. وزعت المشاركون عشوائياً على مجموعة تجريبية ومجموعة ضابطة بواقع 15 مريضاً لكل مجموعة، مع استبعاد أي منسحب خلال التطبيق وفق معايير محددة سلفاً.</w:t>
      </w:r>
    </w:p>
    <w:p>
      <w:pPr>
        <w:pStyle w:val="Heading2"/>
        <w:bidi/>
        <w:spacing w:after="200" w:before="360" w:line="420" w:lineRule="atLeast"/>
        <w:jc w:val="start"/>
      </w:pPr>
      <w:bookmarkStart w:id="100004" w:name="_Toc100004"/>
      <w:r>
        <w:rPr>
          <w:rFonts w:ascii="Times New Roman" w:cs="Simplified Arabic" w:hAnsi="Times New Roman"/>
          <w:b/>
          <w:bCs/>
          <w:i w:val="false"/>
          <w:iCs w:val="false"/>
          <w:color w:val="000000"/>
          <w:sz w:val="32"/>
          <w:szCs w:val="32"/>
          <w:rtl/>
        </w:rPr>
        <w:t xml:space="preserve">2.3 البرنامج التدريبي</w:t>
      </w:r>
      <w:bookmarkEnd w:id="100004"/>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امتد البرنامج المقترح 12 أسبوعاً بواقع ثلاث حصص أسبوعياً غير متتالية، ما يجعل الحجم الأسبوعي الكلي 150 دقيقة أو أكثر وفق التوصيات الدولية. وبدأت كل حصة بإحماء عام مدته 10 دقائق ثم جزء رئيس مدته 30 إلى 35 دقيقة ثم تعافٍ تدريجي مدته 10 دقائق. ووزع الجزء الرئيس على نمطين: حصتان هوائيتان (مشي متسارع ودراجة ثابتة) بشدة تتراوح بين 40 و60 في المائة من الاحتياطي القلبي، وحصة مقاومة عضلية تشمل تمارين الجسم العلوي والسفلي بنسبة 40 إلى 60 في المائة من الحد الأقصى وبمجموعتين إلى ثلاث مجموعات من 10 إلى 15 تكراراً، مع صعود تدريجي أسبوعي موثق في سجل حصص موحد.</w:t>
      </w:r>
    </w:p>
    <w:p>
      <w:pPr>
        <w:pStyle w:val="Heading2"/>
        <w:bidi/>
        <w:spacing w:after="200" w:before="360" w:line="420" w:lineRule="atLeast"/>
        <w:jc w:val="start"/>
      </w:pPr>
      <w:bookmarkStart w:id="100005" w:name="_Toc100005"/>
      <w:r>
        <w:rPr>
          <w:rFonts w:ascii="Times New Roman" w:cs="Simplified Arabic" w:hAnsi="Times New Roman"/>
          <w:b/>
          <w:bCs/>
          <w:i w:val="false"/>
          <w:iCs w:val="false"/>
          <w:color w:val="000000"/>
          <w:sz w:val="32"/>
          <w:szCs w:val="32"/>
          <w:rtl/>
        </w:rPr>
        <w:t xml:space="preserve">2.4 المقاييس والأدوات</w:t>
      </w:r>
      <w:bookmarkEnd w:id="100005"/>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رصدت الدراسة المتغيرات التابعة عبر منظومة قياس متكاملة في القياسين القبلي والبعدي: السكر التراكمي HbA1c والسكر الصائم والإنسولين الصائمي من عينة دم وريدية صائمة لحساب مقاومة الإنسولين HOMA-IR، وهي المنهجية المعتمدة في دراسات مشابهة (الكيتاني؛ Niemann et al., 2020). إضافة إلى القوة اليدوية بمقياس الدينامومتر، واختبار القوة للجسم السفلي، والطول والوزن لحساب مؤشر كتلة الجسم، وساعة نبض لضبط شدة الحصص. وجرت جميع التحاليل في مختبر معتمد واحد لضمان ثبات شروط القياس.</w:t>
      </w:r>
    </w:p>
    <w:p>
      <w:pPr>
        <w:pStyle w:val="Heading2"/>
        <w:bidi/>
        <w:spacing w:after="200" w:before="360" w:line="420" w:lineRule="atLeast"/>
        <w:jc w:val="start"/>
      </w:pPr>
      <w:bookmarkStart w:id="100006" w:name="_Toc100006"/>
      <w:r>
        <w:rPr>
          <w:rFonts w:ascii="Times New Roman" w:cs="Simplified Arabic" w:hAnsi="Times New Roman"/>
          <w:b/>
          <w:bCs/>
          <w:i w:val="false"/>
          <w:iCs w:val="false"/>
          <w:color w:val="000000"/>
          <w:sz w:val="32"/>
          <w:szCs w:val="32"/>
          <w:rtl/>
        </w:rPr>
        <w:t xml:space="preserve">2.5 التحليل الإحصائي</w:t>
      </w:r>
      <w:bookmarkEnd w:id="100006"/>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عولجت البيانات باستخدام برنامج SPSS بحساب المتوسطات الحسابية والانحرافات المعيارية، واختبار (ت) للعينات المرتبطة لمقارنة القياسين داخل كل مجموعة، واختبار (ت) للعينات المستقلة لمقارنة المجموعتين في القياس البعدي، عند مستوى دلالة 0.05. وعرضت النتائج في جداول إحصائية مقتضبة تسبقها جملة تعريفية وتعقبها قراءة علمية مباشرة وفق منهجية IMRAD في العرض.</w:t>
      </w:r>
    </w:p>
    <w:p>
      <w:pPr>
        <w:pStyle w:val="Heading1"/>
        <w:bidi/>
        <w:spacing w:after="300" w:before="480" w:line="460" w:lineRule="atLeast"/>
        <w:jc w:val="center"/>
      </w:pPr>
      <w:bookmarkStart w:id="100007" w:name="_Toc100007"/>
      <w:r>
        <w:rPr>
          <w:rFonts w:ascii="Times New Roman" w:cs="Simplified Arabic" w:hAnsi="Times New Roman"/>
          <w:b/>
          <w:bCs/>
          <w:i w:val="false"/>
          <w:iCs w:val="false"/>
          <w:color w:val="000000"/>
          <w:sz w:val="36"/>
          <w:szCs w:val="36"/>
          <w:rtl/>
        </w:rPr>
        <w:t xml:space="preserve">3. النتائج</w:t>
      </w:r>
      <w:bookmarkEnd w:id="100007"/>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تعرض الفقرات الآتية الهياكل الإحصائية التي ستتضمن نتائج الدراسة الفعلية بعد جمع البيانات ومعالجتها، وقد تُركت خلايا القيم كخانات استبدال لضمان أمانة العرض العلمي حتى إجراء القياس الفعلي. وسيُلصق بكل جدول تعليق إحصائي يقرأ الدلالة واتجاه الفروق وحجم الأثر.</w:t>
      </w:r>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(1): المتوسطات والانحرافات المعيارية وقيمة (ت) بين القياسين القبلي والبعدي للمجموعة التجريبية</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3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المتغير</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القياس القبلي (م ± ع)</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القياس البعدي (م ± ع)</w:t>
            </w:r>
          </w:p>
        </w:tc>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قيمة (ت)</w:t>
            </w:r>
          </w:p>
        </w:tc>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التراكمي HbA1c (%)</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الصائم (ملغ/دل)</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مقاومة الإنسولين HOMA-IR</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القوة اليدوية (كجم)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مؤشر كتلة الجسم (كجم/م2)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bl>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(2): قيمة (ت) ودلالتها بين المجموعة التجريبية والضابطة في القياس البعدي</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3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المتغير</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تجريبية (م ± ع)</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ضابطة (م ± ع)</w:t>
            </w:r>
          </w:p>
        </w:tc>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قيمة (ت)</w:t>
            </w:r>
          </w:p>
        </w:tc>
        <w:tc>
          <w:tcPr>
            <w:tcW w:type="pct" w:w="1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التراكمي HbA1c (%)</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الصائم (ملغ/دل)</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مقاومة الإنسولين HOMA-IR</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القوة اليدوية (كجم)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【القيمة】</w:t>
            </w:r>
          </w:p>
        </w:tc>
        <w:tc>
          <w:tcPr>
            <w:tcW w:type="pct" w:w="1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【الدلالة】</w:t>
            </w:r>
          </w:p>
        </w:tc>
      </w:tr>
    </w:tbl>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وتتوقع الدراسة، استناداً إلى التحليل الشامل المنشور في دورية الجمعية الطبية الأمريكية (Umpierre et al., 2011)، أن تكشف الجداول عن انخفاض دال في السكر التراكمي للمجموعة التجريبية بمقدار يتراوح بين 0.5 و0.7 في المائة، وأن يظهر تفوق معنوي للتجريبية على الضابطة في مؤشرات ضبط السكر، بما ينسجم مع نتائج الدراسات العربية والأجنبية السالفة الذكر.</w:t>
      </w:r>
    </w:p>
    <w:p>
      <w:pPr>
        <w:pStyle w:val="Heading1"/>
        <w:bidi/>
        <w:spacing w:after="300" w:before="480" w:line="460" w:lineRule="atLeast"/>
        <w:jc w:val="center"/>
      </w:pPr>
      <w:bookmarkStart w:id="100008" w:name="_Toc100008"/>
      <w:r>
        <w:rPr>
          <w:rFonts w:ascii="Times New Roman" w:cs="Simplified Arabic" w:hAnsi="Times New Roman"/>
          <w:b/>
          <w:bCs/>
          <w:i w:val="false"/>
          <w:iCs w:val="false"/>
          <w:color w:val="000000"/>
          <w:sz w:val="36"/>
          <w:szCs w:val="36"/>
          <w:rtl/>
        </w:rPr>
        <w:t xml:space="preserve">4. المناقشة</w:t>
      </w:r>
      <w:bookmarkEnd w:id="100008"/>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تُبنى مناقشة النتائج على مقارنة كل نتيجة بالأدبيات المنشورة وتفسيرها آلياً. ففي حال تأكد انخفاض السكر التراكمي لدى المجموعة التجريبية، تُقرأ النتيجة في ضوء آلية الاستهلاك المضاعف للجلوكوز أثناء الجهد الهوائي وتحسّن حساسية الإنسولين بعده، وفي ضوء نتائج دراسة هولتن التي أثبتت أن تدريب المقاومة يعيد بناء مسار إشارات الإنسولين في العضلة الهيكلية عبر رفع ناقل GLUT4 (Holten et al., 2004). ويُفسَّر تحسن القوة العضلية بمبدأ التكيف العصبي العضلي للجرعات المتدرجة، بينما يُربط انخفاض مؤشر كتلة الجسم بميزان الطاقة السلبي الذي يحدثه حجم التدريب الأسبوعي.</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وتُقارن النتائج كذلك بالدراسات العربية المماثلة، وفي مقدمتها دراسة الكيتاني التي رصدت تحسناً معنوياً في السكر التراكمي ومقاومة الإنسولين لدى مصابات السكري بعد برنامج هوائي مقترح، ودراسة البرنامج الترويحي المنشورة على منصة المتميز التي أكدت دور التدريب المنظم في ضبط السكر والأنسولين. كما تُناقش النتائج في مقابل نتائج رامزاني حول أسرعية أثر الأنماط المتقطعة، بما يضع التوصيات النهائية على أساس علمي مقارن لا انطباعي، ويكشف أي اتفاق أو انحراف بين البيئة العربية المحلية والأدبيات الدولية.</w:t>
      </w:r>
    </w:p>
    <w:p>
      <w:pPr>
        <w:pStyle w:val="Heading1"/>
        <w:bidi/>
        <w:spacing w:after="300" w:before="480" w:line="460" w:lineRule="atLeast"/>
        <w:jc w:val="center"/>
      </w:pPr>
      <w:bookmarkStart w:id="100009" w:name="_Toc100009"/>
      <w:r>
        <w:rPr>
          <w:rFonts w:ascii="Times New Roman" w:cs="Simplified Arabic" w:hAnsi="Times New Roman"/>
          <w:b/>
          <w:bCs/>
          <w:i w:val="false"/>
          <w:iCs w:val="false"/>
          <w:color w:val="000000"/>
          <w:sz w:val="36"/>
          <w:szCs w:val="36"/>
          <w:rtl/>
        </w:rPr>
        <w:t xml:space="preserve">5. الخاتمة</w:t>
      </w:r>
      <w:bookmarkEnd w:id="100009"/>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تستهدف هذه الصيغة خلاصة مركزة من ثلاث إلى خمس جمل تجيب مباشرة عن تساؤلات البحث: فالخلاصة المتوقعة أن برنامجاً تدريبياً يجمع الجهد البدني الهوائي مع الجهد العضلي المقاوم ومدته 12 أسبوعاً بثلاث حصص أسبوعياً قادر على تحسين مؤشرات ضبط السكر والقوة العضلية لدى مرضى السكري النمط الثاني. وتوصي الدراسة بإدماج البرامج المزدوجة المضبوطة الجرعة في خطط الرعاية الصحية لمرضى السكري، وبإجراء بحوث لاحقة على فئات عمرية أوسع وبمدد تدريبية أطول، وبقياس مؤشرات إضافية مثل الوظيفة البطنية وتكوين الجسم الدقيق.</w:t>
      </w:r>
    </w:p>
    <w:p>
      <w:pPr>
        <w:pStyle w:val="Heading1"/>
        <w:bidi/>
        <w:spacing w:after="300" w:before="480" w:line="460" w:lineRule="atLeast"/>
        <w:jc w:val="center"/>
      </w:pPr>
      <w:bookmarkStart w:id="100010" w:name="_Toc100010"/>
      <w:r>
        <w:rPr>
          <w:rFonts w:ascii="Times New Roman" w:cs="Simplified Arabic" w:hAnsi="Times New Roman"/>
          <w:b/>
          <w:bCs/>
          <w:i w:val="false"/>
          <w:iCs w:val="false"/>
          <w:color w:val="000000"/>
          <w:sz w:val="36"/>
          <w:szCs w:val="36"/>
          <w:rtl/>
        </w:rPr>
        <w:t xml:space="preserve">المراجع</w:t>
      </w:r>
      <w:bookmarkEnd w:id="100010"/>
    </w:p>
    <w:p>
      <w:pPr>
        <w:pStyle w:val="Heading2"/>
        <w:bidi/>
        <w:spacing w:after="200" w:before="360" w:line="420" w:lineRule="atLeast"/>
        <w:jc w:val="start"/>
      </w:pPr>
      <w:bookmarkStart w:id="100011" w:name="_Toc100011"/>
      <w:r>
        <w:rPr>
          <w:rFonts w:ascii="Times New Roman" w:cs="Simplified Arabic" w:hAnsi="Times New Roman"/>
          <w:b/>
          <w:bCs/>
          <w:i w:val="false"/>
          <w:iCs w:val="false"/>
          <w:color w:val="000000"/>
          <w:sz w:val="32"/>
          <w:szCs w:val="32"/>
          <w:rtl/>
        </w:rPr>
        <w:t xml:space="preserve">أولًا: المراجع العربية</w:t>
      </w:r>
      <w:bookmarkEnd w:id="100011"/>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الكيتاني، محفوظة. تأثير برنامج تدريبي هوائي مقترح على مستوى السكر التراكمي ومقاومة الإنسولين وبعض المؤشرات المرتبطة لدى المصابات بمرض السكري من النوع الثاني في سلطنة عمان. قاعدة بيانات دار المنظومة (المنهل)، متاح على الرابط: search.mandumah.com.</w:t>
      </w:r>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دراسة تأثير البرنامج الترويحي في تنظيم سكر الدم والأنسولين للمرضى المصابين بمرض السكري من النوع الثاني. موقع المتميز للعلوم والتقنية (mobt3ath.com)، متاح على الرابط: www.mobt3ath.com.</w:t>
      </w:r>
    </w:p>
    <w:p>
      <w:pPr>
        <w:pStyle w:val="Heading2"/>
        <w:bidi/>
        <w:spacing w:after="200" w:before="360" w:line="420" w:lineRule="atLeast"/>
        <w:jc w:val="start"/>
      </w:pPr>
      <w:bookmarkStart w:id="100012" w:name="_Toc100012"/>
      <w:r>
        <w:rPr>
          <w:rFonts w:ascii="Times New Roman" w:cs="Simplified Arabic" w:hAnsi="Times New Roman"/>
          <w:b/>
          <w:bCs/>
          <w:i w:val="false"/>
          <w:iCs w:val="false"/>
          <w:color w:val="000000"/>
          <w:sz w:val="32"/>
          <w:szCs w:val="32"/>
          <w:rtl/>
        </w:rPr>
        <w:t xml:space="preserve">ثانيًا: المراجع الأجنبية</w:t>
      </w:r>
      <w:bookmarkEnd w:id="100012"/>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Colberg, S. R., Sigal, R. J., Fernhall, B., Regensteiner, J. G., Blissmer, B. J., Rubin, R. R., et al. (2010). Exercise and type 2 diabetes: The American College of Sports Medicine and the American Diabetes Association joint position statement. Diabetes Care, 33(7), e147-e167.</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Diabetes Prevention Program Research Group. (2002). Reduction in the incidence of type 2 diabetes with lifestyle intervention or metformin. New England Journal of Medicine, 346(6), 393-403.</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Hungerford, K. (2024). The effects of exercise on diabetes mellitus type 2. University of Wyoming — Wyoscholar Institutional Repository. Available at: wyoscholar.uwyo.edu.</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Holten, M. K., Zacho, M., Gaster, M., Juel, C., Wojtaszewski, J. F. P., &amp; Dela, F. (2004). Strength training increases insulin-mediated glucose uptake, GLUT4 content, and insulin signaling in skeletal muscle in patients with type 2 diabetes. Diabetes, 53(2), 294-304.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Kanaley, J. A., Colberg, S. R., Corcoran, M. H., Malin, S. K., Rodriguez, A. C., Crespo, C. J., et al. (2016). Exercise/physical activity in individuals with type 2 diabetes: A position statement of the American Diabetes Association. Diabetes Care, 39(11), 2065-2079.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Look AHEAD Research Group. (2013). Cardiovascular effects of intensive lifestyle intervention in type 2 diabetes. New England Journal of Medicine, 369(2), 145-154.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Niemann, M. K. J., et al. (2020). Strength training and insulin resistance: The mediating role of body composition. Journal of Physical Activity and Health, 17(9). Available via PubMed.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Ramezani, S., et al. (2023). The effect of different types of exercise on indicators related to blood sugar control. Feyz Medical Sciences Journal, Kashan University of Medical Sciences. Available at: feyz.kaums.ac.ir.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Siregar, A. S., et al. (2025). The effect of physical exercise on blood glucose levels, HbA1c, and blood glucose variability in patients with type 2 diabetes: A quantitative analysis. Journal of Prima University. Available at: jurnal.unprimdn.ac.id.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The Impact of Resistance Exercise Training on Glycemic Control in Type 2 Diabetes. (2026). ResearchGate Publication. Available at: www.researchgate.net.</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Umpierre, D., Ribeiro, P. A. B., Kramer, C. K., Leitao, C. B., Zucatti, A. T. N., Azevedo, M. J., et al. (2011). Physical activity advice only or structured exercise training and association with HbA1c levels in type 2 diabetes: A systematic review and meta-analysis. JAMA, 305(17), 1790-1799.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Wang, W., et al. (2021). The effect of physical exercise on blood sugar control in diabetic patients. SciELO Scientific Electronic Library. Available at: www.scielo.br.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Zahalka, S. J., et al. (2025). The role of exercise in diabetes. In: Feingold, K. R., et al. (Eds.), Endotext. South Dartmouth, MA: MDText.com, Inc. (NCBI Bookshelf). Available at: www.endotext.org.</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1"/>
        <w:szCs w:val="21"/>
      </w:rPr>
      <w:t xml:space="preserve">- </w:t>
    </w:r>
    <w:r>
      <w:rPr>
        <w:rFonts w:ascii="Times New Roman" w:hAnsi="Times New Roman"/>
        <w:sz w:val="21"/>
        <w:szCs w:val="21"/>
      </w:rPr>
      <w:fldChar w:fldCharType="begin"/>
      <w:instrText xml:space="preserve"> PAGE \* ROMAN \* MERGEFORMAT </w:instrText>
      <w:fldChar w:fldCharType="separate"/>
      <w:fldChar w:fldCharType="end"/>
    </w:r>
    <w:r>
      <w:rPr>
        <w:rFonts w:ascii="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2"/>
        <w:szCs w:val="22"/>
      </w:rPr>
      <w:t xml:space="preserve">- </w:t>
    </w:r>
    <w:r>
      <w:rPr>
        <w:rFonts w:ascii="Times New Roman" w:hAnsi="Times New Roman"/>
        <w:sz w:val="22"/>
        <w:szCs w:val="22"/>
      </w:rPr>
      <w:fldChar w:fldCharType="begin"/>
      <w:instrText xml:space="preserve"> PAGE \* arabic \* MERGEFORMAT </w:instrText>
      <w:fldChar w:fldCharType="separate"/>
      <w:fldChar w:fldCharType="end"/>
    </w:r>
    <w:r>
      <w:rPr>
        <w:rFonts w:ascii="Times New Roman" w:hAnsi="Times New Roman"/>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color w:val="000000"/>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480" w:line="460"/>
      <w:outlineLvl w:val="0"/>
    </w:pPr>
    <w:rPr>
      <w:rFonts w:ascii="Times New Roman" w:cs="Simplified Arabic" w:hAnsi="Times New Roman"/>
      <w:b/>
      <w:bCs/>
      <w:color w:val="000000"/>
      <w:sz w:val="36"/>
      <w:szCs w:val="36"/>
    </w:rPr>
  </w:style>
  <w:style w:type="paragraph" w:styleId="Heading2">
    <w:name w:val="Heading 2"/>
    <w:basedOn w:val="Normal"/>
    <w:next w:val="Normal"/>
    <w:qFormat/>
    <w:pPr>
      <w:spacing w:after="200" w:before="360" w:line="420"/>
      <w:outlineLvl w:val="1"/>
    </w:pPr>
    <w:rPr>
      <w:rFonts w:ascii="Times New Roman" w:cs="Simplified Arabic" w:hAnsi="Times New Roman"/>
      <w:b/>
      <w:bCs/>
      <w:color w:val="000000"/>
      <w:sz w:val="32"/>
      <w:szCs w:val="32"/>
    </w:rPr>
  </w:style>
  <w:style w:type="paragraph" w:styleId="Heading3">
    <w:name w:val="Heading 3"/>
    <w:basedOn w:val="Normal"/>
    <w:next w:val="Normal"/>
    <w:qFormat/>
    <w:pPr>
      <w:spacing w:after="160" w:before="240" w:line="400"/>
      <w:outlineLvl w:val="2"/>
    </w:pPr>
    <w:rPr>
      <w:rFonts w:ascii="Times New Roman" w:cs="Simplified Arabic" w:hAnsi="Times New Roman"/>
      <w:b/>
      <w:bCs/>
      <w:color w:val="000000"/>
      <w:sz w:val="30"/>
      <w:szCs w:val="30"/>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bidi/>
      <w:tabs>
        <w:tab w:val="right" w:leader="dot" w:pos="9026"/>
      </w:tabs>
      <w:spacing w:before="120" w:after="60"/>
    </w:pPr>
    <w:rPr>
      <w:b/>
      <w:bCs/>
    </w:rPr>
  </w:style>
  <w:style xmlns:w="http://schemas.openxmlformats.org/wordprocessingml/2006/main" w:type="paragraph" w:styleId="11">
    <w:name w:val="toc 2"/>
    <w:basedOn w:val="Normal"/>
    <w:uiPriority w:val="39"/>
    <w:pPr>
      <w:bidi/>
      <w:tabs>
        <w:tab w:val="right" w:leader="dot" w:pos="9026"/>
      </w:tabs>
      <w:ind w:left="360"/>
      <w:spacing w:before="60" w:after="40"/>
    </w:pPr>
  </w:style>
  <w:style xmlns:w="http://schemas.openxmlformats.org/wordprocessingml/2006/main" w:type="paragraph" w:styleId="12">
    <w:name w:val="toc 3"/>
    <w:basedOn w:val="Normal"/>
    <w:uiPriority w:val="39"/>
    <w:pPr>
      <w:bidi/>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تأثير الجهد البدني والعضلي على مرضى السكري – النموذج الثاني IMRAD</dc:title>
  <dc:creator>قسم التربية الرياضية</dc:creator>
  <cp:lastModifiedBy>Un-named</cp:lastModifiedBy>
  <cp:revision>1</cp:revision>
  <dcterms:created xsi:type="dcterms:W3CDTF">2026-09-30T16:10:08.396Z</dcterms:created>
  <dcterms:modified xsi:type="dcterms:W3CDTF">2026-09-30T16:10:08.396Z</dcterms:modified>
</cp:coreProperties>
</file>

<file path=docProps/custom.xml><?xml version="1.0" encoding="utf-8"?>
<Properties xmlns="http://schemas.openxmlformats.org/officeDocument/2006/custom-properties" xmlns:vt="http://schemas.openxmlformats.org/officeDocument/2006/docPropsVTypes"/>
</file>