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【اسم الجامعة】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كلية التربية الرياضية – قسم 【اسم القسم】</w:t>
      </w:r>
    </w:p>
    <w:p>
      <w:pPr>
        <w:bidi/>
        <w:spacing w:after="700" w:line="420" w:lineRule="atLeast"/>
        <w:jc w:val="center"/>
      </w:pPr>
      <w:r>
        <w:rPr>
          <w:rFonts w:ascii="Times New Roman" w:cs="Simplified Arabic" w:hAnsi="Times New Roman"/>
          <w:b/>
          <w:bCs/>
          <w:i w:val="false"/>
          <w:iCs w:val="false"/>
          <w:color w:val="000000"/>
          <w:sz w:val="34"/>
          <w:szCs w:val="34"/>
          <w:rtl/>
        </w:rPr>
        <w:t xml:space="preserve">أطروحة لنيل درجة البكالوريوس – نظام الفصول الخمسة</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الطالب】</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المشرف】</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 / 20】</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【الشهر والسنة】</w:t>
      </w:r>
    </w:p>
    <w:p>
      <w:pPr>
        <w:sectPr>
          <w:pgSz w:w="11906" w:h="16838" w:orient="portrait"/>
          <w:pgMar w:top="1440" w:right="1417" w:bottom="1440" w:left="1701" w:header="850" w:footer="992" w:gutter="0"/>
          <w:docGrid w:linePitch="360"/>
        </w:sectPr>
      </w:pP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الفصل الأول: الإطار العام للدراسة</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تمهيد</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مشكلة الدراسة وتساؤلاتها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فرضيات الدراسة</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أهمية الدراسة وأهدافها</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مصطلحات الدراسة وحدودها</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الفصل الثاني: الإطار النظري والدراسات السابقة</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المبحث الأول: مرض السكري من النمط الثاني: المفهوم والمضاعفات</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المبحث الثاني: الجهد البدني والعضلي: الأسس الفسيولوجية والتطبيق التدريبي</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المبحث الثالث: الدراسات السابقة والتعقيب عليها</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الفصل الثالث: إجراءات الدراسة</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المنهج المتبع</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مجتمع الدراسة وعينتها</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أدوات الدراسة</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البرنامج التدريبي المدمج</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الإجراءات الإحصائية</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الفصل الرابع: عرض النتائج وتحليلها</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مقدمة عرض النتائج</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الفصل الخامس: المناقشة والاستنتاجات والتوصيات</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مناقشة النتائج</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الاستنتاجات</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التوصيات والبحوث المقترحة</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المراجع</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أولًا: المراجع العربية</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ثانيًا: المراجع الأجنبية</w:t>
            </w:r>
            <w:r>
              <w:tab/>
            </w:r>
            <w:r>
              <w:fldChar w:fldCharType="begin"/>
            </w:r>
            <w:r>
              <w:instrText xml:space="preserve"> PAGEREF _Toc100024 \h </w:instrText>
            </w:r>
            <w:r>
              <w:fldChar w:fldCharType="separate"/>
            </w:r>
            <w:r>
              <w:t>8</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الفصل الأول: الإطار العام للدراسة</w:t>
      </w:r>
      <w:bookmarkEnd w:id="100000"/>
    </w:p>
    <w:p>
      <w:pPr>
        <w:pStyle w:val="Heading2"/>
        <w:bidi/>
        <w:spacing w:after="200" w:before="360" w:line="420" w:lineRule="atLeast"/>
        <w:jc w:val="start"/>
      </w:pPr>
      <w:bookmarkStart w:id="100001" w:name="_Toc100001"/>
      <w:r>
        <w:rPr>
          <w:rFonts w:ascii="Times New Roman" w:cs="Simplified Arabic" w:hAnsi="Times New Roman"/>
          <w:b/>
          <w:bCs/>
          <w:i w:val="false"/>
          <w:iCs w:val="false"/>
          <w:color w:val="000000"/>
          <w:sz w:val="32"/>
          <w:szCs w:val="32"/>
          <w:rtl/>
        </w:rPr>
        <w:t xml:space="preserve">تمهيد</w:t>
      </w:r>
      <w:bookmarkEnd w:id="10000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ينتشر سكري النمط الثاني انتشاراً متسارعاً في العالم حتى غدا تحدياً صحياً عالمياً بامتياز، وهو ما جعل الأنظمة الصحية تتجه بصورة متزايدة نحو مداخل الوقاية والتأهيل غير الدوائية. ويأتي النشاط البدني المنتظم في مقدمة هذه المداخل بعد أن راكمت الأبحاث العالمية أدلة قوية على دوره في الوقاية من المرض والسيطرة عليه وتحسين جودة حياة المرضى (Diabetes Prevention Program Research Group, 2002; Kanaley et al., 2016). ويفتح هذا الواقع أمام متخصصي التربية الرياضية مجالاً بحثياً وتطبيقياً واسعاً في تصميم برامج تدريبية آمنة وفعالة للفئات الصحية الخاصة.</w:t>
      </w:r>
    </w:p>
    <w:p>
      <w:pPr>
        <w:pStyle w:val="Heading2"/>
        <w:bidi/>
        <w:spacing w:after="200" w:before="360" w:line="420" w:lineRule="atLeast"/>
        <w:jc w:val="start"/>
      </w:pPr>
      <w:bookmarkStart w:id="100002" w:name="_Toc100002"/>
      <w:r>
        <w:rPr>
          <w:rFonts w:ascii="Times New Roman" w:cs="Simplified Arabic" w:hAnsi="Times New Roman"/>
          <w:b/>
          <w:bCs/>
          <w:i w:val="false"/>
          <w:iCs w:val="false"/>
          <w:color w:val="000000"/>
          <w:sz w:val="32"/>
          <w:szCs w:val="32"/>
          <w:rtl/>
        </w:rPr>
        <w:t xml:space="preserve">مشكلة الدراسة وتساؤلاتها</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تتحدد مشكلة الدراسة في الحاجة إلى برنامج تدريبي مضبوط يجمع بين الجهد البدني الهوائي والجهد العضلي المقاوم لمرضى السكري النمط الثاني، بعد أن أثبتت الأدبيات أن الجمع بين النمطين يتفوق على أي نمط منفرد في تحسين مؤشرات ضبط المرض. وتسعى الدراسة إلى الإجابة عن التساؤل الرئيس الآتي: ما تأثير البرنامج التدريبي المقترح المدمج في السكر التراكمي ومقاومة الإنسولين والقوة العضلية ومؤشر كتلة الجسم لدى مرضى السكري النمط الثاني؟ وتتفرع عنه تساؤلات حول وجود فروق دالة بين القياسين القبلي والبعدي للمجموعة التجريبية، وبين المجموعتين في القياس البعدي، واتجاه هذه الفروق وحجمها.</w:t>
      </w:r>
    </w:p>
    <w:p>
      <w:pPr>
        <w:pStyle w:val="Heading2"/>
        <w:bidi/>
        <w:spacing w:after="200" w:before="360" w:line="420" w:lineRule="atLeast"/>
        <w:jc w:val="start"/>
      </w:pPr>
      <w:bookmarkStart w:id="100003" w:name="_Toc100003"/>
      <w:r>
        <w:rPr>
          <w:rFonts w:ascii="Times New Roman" w:cs="Simplified Arabic" w:hAnsi="Times New Roman"/>
          <w:b/>
          <w:bCs/>
          <w:i w:val="false"/>
          <w:iCs w:val="false"/>
          <w:color w:val="000000"/>
          <w:sz w:val="32"/>
          <w:szCs w:val="32"/>
          <w:rtl/>
        </w:rPr>
        <w:t xml:space="preserve">فرضيات الدراسة</w:t>
      </w:r>
      <w:bookmarkEnd w:id="10000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تختبر الدراسة الفرضيات الآتية عند مستوى دلالة 0.05: توجد فروق دالة إحصائياً بين متوسطي القياسين القبلي والبعدي للمجموعة التجريبية في السكر التراكمي والسكر الصائم ومقاومة الإنسولين لصالح القياس البعدي؛ وتوجد فروق دالة إحصائياً بين المجموعة التجريبية والضابطة في القياس البعدي لجميع المؤشرات المتداولة لصالح التجريبية؛ وتوجد فروق دالة في القوة العضلية للجسم العلوي والسفلي ومؤشر كتلة الجسم بين القياسين لدى المجموعة التجريبية. وقد استمدت هذه الفرضيات استنادها المباشر من نتائج الدراسات المحكية في هذا المجال (Holten et al., 2004; Umpierre et al., 2011).</w:t>
      </w:r>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أهمية الدراسة وأهدافها</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تكتسب الدراسة أهميتها العلمية من إثراء المعرفة العربية بدراسة تجريبية مضبوطة في فسيولوجيا التمارين لدى الفئات الخاصة، وأهميتها التطبيقية من تقديم برنامج تدريبي جاهز يمكن لأخصائيي المعالجة الرياضية والمراكز الصحية تبنيه. وتسعى الدراسة إلى تحقيق خمسة أهداف: تصميم البرنامج التدريبي المدمج المقترح؛ والتعرف على أثره في السكر التراكمي والسكر الصائم؛ والكشف عن أثره في مقاومة الإنسولين؛ وقياس تطور القوة العضلية ومؤشر كتلة الجسم؛ وصياغة توصيات تطبيقية تدعم دمج التمارين في رعاية مرضى السكري.</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مصطلحات الدراسة وحدودها</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الجهد البدني: الأحمال الهوائية المضبوطة الشدة والزمن التي تمارسها العينة خلال الحصص التدريبية. والجهد العضلي: أحمال المقاومة التي تُطبق على المجموعات العضلية الكبرى بنسب محددة من الحد الأقصى. ومرض السكري النمط الثاني: الاضطراب الأيضي المزمن الذي يتصف بمقاومة الإنسولين وارتفاع الجلوكوز الدموي. والسكر التراكمي: متوسط تركيز الجلوكوز الدموي خلال الشهرين إلى الثلاثة أشهر السابقة للفحص. أما حدود الدراسة فتتمثل في المكان المتفق عليه للقياسات والتطبيق 【اسم المكان】، والفترة الزمنية الممتدة 12 أسبوعاً للتدريب، والفئة البشرية من مرضى النمط الثاني بأعمار 40 إلى 60 عاماً، والموضوعية المحددة في المتغيرات الحيوية والعضلية المذكورة دون غيرها.</w:t>
      </w:r>
    </w:p>
    <w:p>
      <w:pPr>
        <w:pStyle w:val="Heading1"/>
        <w:bidi/>
        <w:spacing w:after="300" w:before="480" w:line="460" w:lineRule="atLeast"/>
        <w:jc w:val="center"/>
      </w:pPr>
      <w:bookmarkStart w:id="100006" w:name="_Toc100006"/>
      <w:r>
        <w:rPr>
          <w:rFonts w:ascii="Times New Roman" w:cs="Simplified Arabic" w:hAnsi="Times New Roman"/>
          <w:b/>
          <w:bCs/>
          <w:i w:val="false"/>
          <w:iCs w:val="false"/>
          <w:color w:val="000000"/>
          <w:sz w:val="36"/>
          <w:szCs w:val="36"/>
          <w:rtl/>
        </w:rPr>
        <w:t xml:space="preserve">الفصل الثاني: الإطار النظري والدراسات السابقة</w:t>
      </w:r>
      <w:bookmarkEnd w:id="100006"/>
    </w:p>
    <w:p>
      <w:pPr>
        <w:pStyle w:val="Heading2"/>
        <w:bidi/>
        <w:spacing w:after="200" w:before="360" w:line="420" w:lineRule="atLeast"/>
        <w:jc w:val="start"/>
      </w:pPr>
      <w:bookmarkStart w:id="100007" w:name="_Toc100007"/>
      <w:r>
        <w:rPr>
          <w:rFonts w:ascii="Times New Roman" w:cs="Simplified Arabic" w:hAnsi="Times New Roman"/>
          <w:b/>
          <w:bCs/>
          <w:i w:val="false"/>
          <w:iCs w:val="false"/>
          <w:color w:val="000000"/>
          <w:sz w:val="32"/>
          <w:szCs w:val="32"/>
          <w:rtl/>
        </w:rPr>
        <w:t xml:space="preserve">المبحث الأول: مرض السكري من النمط الثاني: المفهوم والمضاعفات</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يُعرَّف سكري النمط الثاني بأنه اضطراب أيضي مزمن تنشأ عنه ارتفاع مزمن في جلوكوز الدم نتيجة مقاومة الأنسجة لأثر الإنسولين يتبعها تدريجياً في قصور إفراز خلايا بيتا البنكرياسية. ويتطور المرض على مدى سنوات في صمت نسبي، وتظهر مضاعفاته الجهازية على القلب والأوعية الدموية والكليتين والشبكية والأعصاب الطرفية، مما يجعله من أكبر أسباب الاعتلال والوفيات المزمنة عالمياً. ويقوم علاج المرض على ثلاثية نمط الحياة والأدوية والمتابعة الدورية، وتؤكد الأدلة أن ركيزة نمط الحياة هي الأقل تكلفة والأوسع فائدة عندما تُنفذ بجودة عالية والتزام مستمر (Zahalka et al., 2025).</w:t>
      </w:r>
    </w:p>
    <w:p>
      <w:pPr>
        <w:pStyle w:val="Heading2"/>
        <w:bidi/>
        <w:spacing w:after="200" w:before="360" w:line="420" w:lineRule="atLeast"/>
        <w:jc w:val="start"/>
      </w:pPr>
      <w:bookmarkStart w:id="100008" w:name="_Toc100008"/>
      <w:r>
        <w:rPr>
          <w:rFonts w:ascii="Times New Roman" w:cs="Simplified Arabic" w:hAnsi="Times New Roman"/>
          <w:b/>
          <w:bCs/>
          <w:i w:val="false"/>
          <w:iCs w:val="false"/>
          <w:color w:val="000000"/>
          <w:sz w:val="32"/>
          <w:szCs w:val="32"/>
          <w:rtl/>
        </w:rPr>
        <w:t xml:space="preserve">المبحث الثاني: الجهد البدني والعضلي: الأسس الفسيولوجية والتطبيق التدريبي</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ينتج أثر التمرين في ضبط السكر من آليتين متكاملتين: آلية أثناء الجهد يقوم فيها العضل على استهلاك الجلوكوز عبر مسار مستقل عن الإنسولين يرتبط بنقل ناقل GLUT4 إلى غشاء الخلية، وآلية بعد الجهد تتحسن فيها حساسية الأنسجة للإنسولين وتزداد كتلة العضلة المستهلكة للجلوكوز مع التدريب المقاوم المنتظم، وقد وثقت تجريبياً زيادة نقل الجلوكوز بوساطة الإنسولين ومحتوى GLUT4 بعد تدريب القوة لدى مرضى النمط الثاني (Holten et al., 2004). وعلى مستوى الجرعة، توصي البيانات العلمية بـ 150 دقيقة أسبوعياً فأكثر من النشاط الهوائي الموزع على أيام غير متتالية مع جلستي مقاومة إلى ثلاث تغطي المجموعات الكبرى، مع تأكيدات أن أكبر انخفاض للسكر التراكمي يتحقق في البرامج المنظمة الممتدة فوق هذا الحد (Umpierre et al., 2011; Colberg et al., 2010).</w:t>
      </w:r>
    </w:p>
    <w:p>
      <w:pPr>
        <w:pStyle w:val="Heading2"/>
        <w:bidi/>
        <w:spacing w:after="200" w:before="360" w:line="420" w:lineRule="atLeast"/>
        <w:jc w:val="start"/>
      </w:pPr>
      <w:bookmarkStart w:id="100009" w:name="_Toc100009"/>
      <w:r>
        <w:rPr>
          <w:rFonts w:ascii="Times New Roman" w:cs="Simplified Arabic" w:hAnsi="Times New Roman"/>
          <w:b/>
          <w:bCs/>
          <w:i w:val="false"/>
          <w:iCs w:val="false"/>
          <w:color w:val="000000"/>
          <w:sz w:val="32"/>
          <w:szCs w:val="32"/>
          <w:rtl/>
        </w:rPr>
        <w:t xml:space="preserve">المبحث الثالث: الدراسات السابقة والتعقيب عليها</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تعددت الدراسات التي تناولت أثر التدريب المنظم لدى مرضى السكري النمط الثاني، فدراسة الكيتاني على مصابات النمط الثاني في سلطنة عمان أثبتت أثر برنامج هوائي مقترح في خفض السكر التراكمي ومقاومة الإنسولين، ودراسة البرنامج الترويحي المنشورة على منصة المتميز أكدت تنظيم سكر الدم والأنسولين بعد التدريب المنظم، بينما رصدت دراسة رامزاني أن الأنماط المتقطعة عالية الشدة تظهر أسرع تأثير خافض للسكر، وأظهرت مراجعة أومبير وزملائه تفوق البرامج المنظمة على النصائح العامة. ويتضح من مجموع ذلك أن الفجوة البحثية العربية تكمن في قلة الدراسات التي تجمع النمطين الهوائي والمقاوم في برنامج واحد مضبوط مع منظومة قياس حيوية وعضلية متكاملة، وهي الفجوة التي تسعى هذه الدراسة إلى سدها.</w:t>
      </w:r>
    </w:p>
    <w:p>
      <w:pPr>
        <w:pStyle w:val="Heading1"/>
        <w:bidi/>
        <w:spacing w:after="300" w:before="480" w:line="460" w:lineRule="atLeast"/>
        <w:jc w:val="center"/>
      </w:pPr>
      <w:bookmarkStart w:id="100010" w:name="_Toc100010"/>
      <w:r>
        <w:rPr>
          <w:rFonts w:ascii="Times New Roman" w:cs="Simplified Arabic" w:hAnsi="Times New Roman"/>
          <w:b/>
          <w:bCs/>
          <w:i w:val="false"/>
          <w:iCs w:val="false"/>
          <w:color w:val="000000"/>
          <w:sz w:val="36"/>
          <w:szCs w:val="36"/>
          <w:rtl/>
        </w:rPr>
        <w:t xml:space="preserve">الفصل الثالث: إجراءات الدراسة</w:t>
      </w:r>
      <w:bookmarkEnd w:id="100010"/>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المنهج المتبع</w:t>
      </w:r>
      <w:bookmarkEnd w:id="10001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اعتمدت الدراسة المنهج شبه التجريبي بتصميم المجموعتين والقياسين القبلي والبعدي لملاءمته طبيعة الدراسات التدريبية الميدانية التي يصعب فيها الإحالة العشوائية الكاملة. ويقوم التصميم على ضبط المتغير المستقل المتمثل في البرنامج التدريبي المدمج، ورصد أثره في المتغيرات التابعة المتمثلة في السكر التراكمي والسكر الصائم ومقاومة الإنسولين والقوة العضلية ومؤشر كتلة الجسم، مع التزام المجموعة الضابطة نمط حياتها المعتاد خلال فترة التطبيق.</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مجتمع الدراسة وعينتها</w:t>
      </w:r>
      <w:bookmarkEnd w:id="10001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يتكون مجتمع الدراسة من مرضى السكري النمط الثاني الملتحقين بالعيادة المرجعية في 【اسم المكان】 خلال فترة التطبيق، وتُستخرج العينة بقصدية تصل إلى 30 مريضاً يستوفون شروط الاشتراك من حيث التشخيص الطبي المؤكد واستقرار الجرعات الدوائية وغياب الموانع الطبية للجهد المعتدل والموافقة العلمية المستنيرة. وتوزع العينة بالتساوي على مجموعة تجريبية تتلقى البرنامج التدريبي ومجموعة ضابطة تتابع حالتها المعتادة، مع تسجيل البيانات الديمغرافية والصحية الأساسية لكلا المجموعتين في القياس القبلي لضمان التوازن.</w:t>
      </w:r>
    </w:p>
    <w:p>
      <w:pPr>
        <w:pStyle w:val="Heading2"/>
        <w:bidi/>
        <w:spacing w:after="200" w:before="360" w:line="420" w:lineRule="atLeast"/>
        <w:jc w:val="start"/>
      </w:pPr>
      <w:bookmarkStart w:id="100013" w:name="_Toc100013"/>
      <w:r>
        <w:rPr>
          <w:rFonts w:ascii="Times New Roman" w:cs="Simplified Arabic" w:hAnsi="Times New Roman"/>
          <w:b/>
          <w:bCs/>
          <w:i w:val="false"/>
          <w:iCs w:val="false"/>
          <w:color w:val="000000"/>
          <w:sz w:val="32"/>
          <w:szCs w:val="32"/>
          <w:rtl/>
        </w:rPr>
        <w:t xml:space="preserve">أدوات الدراسة</w:t>
      </w:r>
      <w:bookmarkEnd w:id="10001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تضمنت منظومة جمع البيانات: التحاليل المخبرية للسكر التراكمي والصائم والإنسولين الصائمي في مختبر معتمد واحد لحساب مقاومة الإنسولين وفق المؤشر HOMA-IR؛ ومقياس الدينامومتر اليدوي للقوة العضلية للجسم العلوي واختبار القوة المعياري للجسم السفلي؛ وأجهزة قياس الطول والوزن لحساب مؤشر كتلة الجسم؛ وساعة النبض لضبط شدة الحصص التدريبية؛ بالإضافة إلى استمارة بيانات ونموذج موافقة مستنيرة معتمدين من لجنة أخلاقيات البحث. وقد جرى التحقق من صدق الأدوات بعرضها على مجموعة من المحكمين المتخصصين وحساب ثبات المقاييس الحركية بمعامل ارتباط التجزئة النصفية.</w:t>
      </w:r>
    </w:p>
    <w:p>
      <w:pPr>
        <w:pStyle w:val="Heading2"/>
        <w:bidi/>
        <w:spacing w:after="200" w:before="360" w:line="420" w:lineRule="atLeast"/>
        <w:jc w:val="start"/>
      </w:pPr>
      <w:bookmarkStart w:id="100014" w:name="_Toc100014"/>
      <w:r>
        <w:rPr>
          <w:rFonts w:ascii="Times New Roman" w:cs="Simplified Arabic" w:hAnsi="Times New Roman"/>
          <w:b/>
          <w:bCs/>
          <w:i w:val="false"/>
          <w:iCs w:val="false"/>
          <w:color w:val="000000"/>
          <w:sz w:val="32"/>
          <w:szCs w:val="32"/>
          <w:rtl/>
        </w:rPr>
        <w:t xml:space="preserve">البرنامج التدريبي المدمج</w:t>
      </w:r>
      <w:bookmarkEnd w:id="10001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صمم البرنامج ليمتد 12 أسبوعاً بمعدل ثلاث حصص أسبوعية غير متتالية، كل حصة 50 إلى 55 دقيقة تشمل إحماءً عاماً وجزءاً رئيساً وتعافياً تدريجياً. وقد ووزع الجزء الرئيس بين حصتين هوائيتين بشدة من 40 إلى 60 في المائة من الاحتياطي القلبي وحصة مقاومة تغطي المجموعات العضلية الكبرى بنسبة 40 إلى 60 في المائة من الحد الأقصى بمجموعتين إلى ثلاث من 10 إلى 15 تكراراً، مع تحول تدريجي في الثلث الأخير إلى حصص مدمجة تجمع النمطين في الوحدة التدريبية الواحدة. ويعتمد الصعود التدريبي على مبدأ الزيادة التدريجية مع مراقبة أعراض هبوط السكر وتوثيق كل حصة في سجل رسمي.</w:t>
      </w:r>
    </w:p>
    <w:p>
      <w:pPr>
        <w:pStyle w:val="Heading2"/>
        <w:bidi/>
        <w:spacing w:after="200" w:before="360" w:line="420" w:lineRule="atLeast"/>
        <w:jc w:val="start"/>
      </w:pPr>
      <w:bookmarkStart w:id="100015" w:name="_Toc100015"/>
      <w:r>
        <w:rPr>
          <w:rFonts w:ascii="Times New Roman" w:cs="Simplified Arabic" w:hAnsi="Times New Roman"/>
          <w:b/>
          <w:bCs/>
          <w:i w:val="false"/>
          <w:iCs w:val="false"/>
          <w:color w:val="000000"/>
          <w:sz w:val="32"/>
          <w:szCs w:val="32"/>
          <w:rtl/>
        </w:rPr>
        <w:t xml:space="preserve">الإجراءات الإحصائية</w:t>
      </w:r>
      <w:bookmarkEnd w:id="10001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استخدمت الدراسة برنامج الحزمة الإحصائية للعلوم الاجتماعية SPSS لمعالجة البيانات، بحساب المتوسطات الحسابية والانحرافات المعيارية لوصف مستويات المتغيرات، واختبار (ت) للعينات المرتبطة لفحص الفروق داخل المجموعة الواحدة بين القياسين، واختبار (ت) للعينات المستقلة لفحص الفروق بين المجموعتين في القياس البعدي، عند مستوى دلالة 0.05. كما احتسب حجم الأثر للفروق الدالة لترجمة الدلالة الإحصائية إلى معنى عملي قابل للتطبيق السريري والرياضي.</w:t>
      </w:r>
    </w:p>
    <w:p>
      <w:pPr>
        <w:pStyle w:val="Heading1"/>
        <w:bidi/>
        <w:spacing w:after="300" w:before="480" w:line="460" w:lineRule="atLeast"/>
        <w:jc w:val="center"/>
      </w:pPr>
      <w:bookmarkStart w:id="100016" w:name="_Toc100016"/>
      <w:r>
        <w:rPr>
          <w:rFonts w:ascii="Times New Roman" w:cs="Simplified Arabic" w:hAnsi="Times New Roman"/>
          <w:b/>
          <w:bCs/>
          <w:i w:val="false"/>
          <w:iCs w:val="false"/>
          <w:color w:val="000000"/>
          <w:sz w:val="36"/>
          <w:szCs w:val="36"/>
          <w:rtl/>
        </w:rPr>
        <w:t xml:space="preserve">الفصل الرابع: عرض النتائج وتحليلها</w:t>
      </w:r>
      <w:bookmarkEnd w:id="100016"/>
    </w:p>
    <w:p>
      <w:pPr>
        <w:pStyle w:val="Heading2"/>
        <w:bidi/>
        <w:spacing w:after="200" w:before="360" w:line="420" w:lineRule="atLeast"/>
        <w:jc w:val="start"/>
      </w:pPr>
      <w:bookmarkStart w:id="100017" w:name="_Toc100017"/>
      <w:r>
        <w:rPr>
          <w:rFonts w:ascii="Times New Roman" w:cs="Simplified Arabic" w:hAnsi="Times New Roman"/>
          <w:b/>
          <w:bCs/>
          <w:i w:val="false"/>
          <w:iCs w:val="false"/>
          <w:color w:val="000000"/>
          <w:sz w:val="32"/>
          <w:szCs w:val="32"/>
          <w:rtl/>
        </w:rPr>
        <w:t xml:space="preserve">مقدمة عرض النتائج</w:t>
      </w:r>
      <w:bookmarkEnd w:id="10001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تُعرض نتائج الدراسة في جدولين إحصائيين رئيسين وفق منهجية العرض المختصرة القريبة من النمط الدولي للنشر: أولها مقارنة القياسين القبلي والبعدي داخل المجموعة التجريبية لجميع المتغيرات، وثانيها مقارنة المجموعتين في القياس البعدي. ويعقب كل جدول قراءة تحليلية تربط قيمة (ت) ومستوى الدلالة بحجم الأثر ثم بالمضمون التطبيقي. وتُملأ الخلايا الآتية بالقيم الفعلية بعد استكمال التطبيق والتحاليل المخبرية، حفاظاً على أمانة العرض العلمي.</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الفروق بين القياسين القبلي والبعدي للمجموعة التجريبية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قبلي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بعدي (م ± ع)</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bl>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الفروق بين المجموعتين في القياس البعدي</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تجريبية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ضابطة (م ± ع)</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bl>
    <w:p>
      <w:pPr>
        <w:bidi/>
        <w:spacing w:after="120" w:before="200" w:line="360" w:lineRule="atLeast"/>
        <w:ind w:firstLine="480"/>
        <w:jc w:val="both"/>
      </w:pPr>
      <w:r>
        <w:rPr>
          <w:rFonts w:ascii="Times New Roman" w:cs="Traditional Arabic" w:hAnsi="Times New Roman"/>
          <w:b w:val="false"/>
          <w:bCs w:val="false"/>
          <w:i w:val="false"/>
          <w:iCs w:val="false"/>
          <w:color w:val="000000"/>
          <w:sz w:val="32"/>
          <w:szCs w:val="32"/>
          <w:rtl/>
        </w:rPr>
        <w:t xml:space="preserve">وبناءً على الأدبيات المتاحة، يتوقع أن يظهر التحليل انخفاضاً دالاً في مؤشرات ضبط السكر لصالح القياس البعدي للمجموعة التجريبية بمقدار يقارب ما رصدته المراجعات الشاملة العالمية (Umpierre et al., 2011)، وأن يظهر تفوق المعنوية للمجموعة التجريبية على الضابطة في المؤشرات الحيوية والعضلية معاً، وهو ما سيُفسَّر تحليلياً في الفصل التالي وفق الآليات الفسيولوجية الموضحة في الإطار النظري.</w:t>
      </w:r>
    </w:p>
    <w:p>
      <w:pPr>
        <w:pStyle w:val="Heading1"/>
        <w:bidi/>
        <w:spacing w:after="300" w:before="480" w:line="460" w:lineRule="atLeast"/>
        <w:jc w:val="center"/>
      </w:pPr>
      <w:bookmarkStart w:id="100018" w:name="_Toc100018"/>
      <w:r>
        <w:rPr>
          <w:rFonts w:ascii="Times New Roman" w:cs="Simplified Arabic" w:hAnsi="Times New Roman"/>
          <w:b/>
          <w:bCs/>
          <w:i w:val="false"/>
          <w:iCs w:val="false"/>
          <w:color w:val="000000"/>
          <w:sz w:val="36"/>
          <w:szCs w:val="36"/>
          <w:rtl/>
        </w:rPr>
        <w:t xml:space="preserve">الفصل الخامس: المناقشة والاستنتاجات والتوصيات</w:t>
      </w:r>
      <w:bookmarkEnd w:id="100018"/>
    </w:p>
    <w:p>
      <w:pPr>
        <w:pStyle w:val="Heading2"/>
        <w:bidi/>
        <w:spacing w:after="200" w:before="360" w:line="420" w:lineRule="atLeast"/>
        <w:jc w:val="start"/>
      </w:pPr>
      <w:bookmarkStart w:id="100019" w:name="_Toc100019"/>
      <w:r>
        <w:rPr>
          <w:rFonts w:ascii="Times New Roman" w:cs="Simplified Arabic" w:hAnsi="Times New Roman"/>
          <w:b/>
          <w:bCs/>
          <w:i w:val="false"/>
          <w:iCs w:val="false"/>
          <w:color w:val="000000"/>
          <w:sz w:val="32"/>
          <w:szCs w:val="32"/>
          <w:rtl/>
        </w:rPr>
        <w:t xml:space="preserve">مناقشة النتائج</w:t>
      </w:r>
      <w:bookmarkEnd w:id="10001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تبدأ المناقشة بقراءة انخفاض السكر التراكمي لدى المجموعة التجريبية في ضوء الآليتين الفسيولوجيتين الموضحتين في الفصل الثاني: الاستهلاك المعزز للجلوكوز أثناء الجهد الهوائي عبر مسار مستقل عن الإنسولين، وتحسين إشارات الإنسولين العضلية بعد التدريب المقاوم برفع محتوى ناقل GLUT4 (Holten et al., 2004). وتُقارن النتيجة بالدراسات العربية والأجنبية المماثلة وفي مقدمتها دراسة الكيتاني ومراجعة أومبير وزملائه، لتحديد موضع الاتفاق والانحراف وشرح أسبابهما من حيث خصائص العينة ومدة التطبيق ومستوى الالتزام. كما تُناقش تحسينات القوة العضلية ومؤشر كتلة الجسم بوصفها نتائج مترابطة تعكس تكيفاً عضلياً وأيضياً متكاملاً.</w:t>
      </w:r>
    </w:p>
    <w:p>
      <w:pPr>
        <w:pStyle w:val="Heading2"/>
        <w:bidi/>
        <w:spacing w:after="200" w:before="360" w:line="420" w:lineRule="atLeast"/>
        <w:jc w:val="start"/>
      </w:pPr>
      <w:bookmarkStart w:id="100020" w:name="_Toc100020"/>
      <w:r>
        <w:rPr>
          <w:rFonts w:ascii="Times New Roman" w:cs="Simplified Arabic" w:hAnsi="Times New Roman"/>
          <w:b/>
          <w:bCs/>
          <w:i w:val="false"/>
          <w:iCs w:val="false"/>
          <w:color w:val="000000"/>
          <w:sz w:val="32"/>
          <w:szCs w:val="32"/>
          <w:rtl/>
        </w:rPr>
        <w:t xml:space="preserve">الاستنتاجات</w:t>
      </w:r>
      <w:bookmarkEnd w:id="10002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تستخلص الدراسة استنتاجاتها من النتائج الدالة التي توصلت إليها، وأبرزها المتوقع: أن البرنامج التدريبي المدمج المطبق 12 أسبوعاً بثلاث حصص أسبوعية فعال في تحسين السكر التراكمي والسكر الصائم ومقاومة الإنسولين لدى مرضى السكري النمط الثاني؛ وأن الدمج بين الجهد الهوائي والجهد العضلي في برنامج واحد يحقق فائدة مزدوجة أيضية وحركية؛ وأن القوة العضلية مؤشر عملي يمكن لأخصائي التدريب متابعته بوصفه مرآة للاستجابة التدريبية لدى المرضى.</w:t>
      </w:r>
    </w:p>
    <w:p>
      <w:pPr>
        <w:pStyle w:val="Heading2"/>
        <w:bidi/>
        <w:spacing w:after="200" w:before="360" w:line="420" w:lineRule="atLeast"/>
        <w:jc w:val="start"/>
      </w:pPr>
      <w:bookmarkStart w:id="100021" w:name="_Toc100021"/>
      <w:r>
        <w:rPr>
          <w:rFonts w:ascii="Times New Roman" w:cs="Simplified Arabic" w:hAnsi="Times New Roman"/>
          <w:b/>
          <w:bCs/>
          <w:i w:val="false"/>
          <w:iCs w:val="false"/>
          <w:color w:val="000000"/>
          <w:sz w:val="32"/>
          <w:szCs w:val="32"/>
          <w:rtl/>
        </w:rPr>
        <w:t xml:space="preserve">التوصيات والبحوث المقترحة</w:t>
      </w:r>
      <w:bookmarkEnd w:id="10002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توصي الدراسة بالآتي: إدماج البرامج التدريبية المدمجة المضبوطة الجرعة في خطط الرعاية الصحية الأولية لمرضى السكري النمط الثاني بالتنسيق بين أطباء الغدد الصماء وأخصائيي التدريب؛ وتأسيس مجتمعات رياضية علاجية مراقبة في المراكز الصحية؛ وتوعية المرضى بأهمية الانتظام والتدريج في الممارسة. وتقترح الدراسة بحوثاً لاحقة تشمل: مدد تدريبية أطول من 12 أسبوعاً لمتابعة استدامة الأثر، وفئات عمرية وأعراقاً أوسع، وقياسات إضافية للوظيفة البطنية وتكوين الجسم الدقيق، ومقارنة البرنامج المدمج بأنماط التدريب المتقطع عالي الشدة في الفئة نفسها.</w:t>
      </w:r>
    </w:p>
    <w:p>
      <w:pPr>
        <w:pStyle w:val="Heading1"/>
        <w:bidi/>
        <w:spacing w:after="300" w:before="480" w:line="460" w:lineRule="atLeast"/>
        <w:jc w:val="center"/>
      </w:pPr>
      <w:bookmarkStart w:id="100022" w:name="_Toc100022"/>
      <w:r>
        <w:rPr>
          <w:rFonts w:ascii="Times New Roman" w:cs="Simplified Arabic" w:hAnsi="Times New Roman"/>
          <w:b/>
          <w:bCs/>
          <w:i w:val="false"/>
          <w:iCs w:val="false"/>
          <w:color w:val="000000"/>
          <w:sz w:val="36"/>
          <w:szCs w:val="36"/>
          <w:rtl/>
        </w:rPr>
        <w:t xml:space="preserve">المراجع</w:t>
      </w:r>
      <w:bookmarkEnd w:id="100022"/>
    </w:p>
    <w:p>
      <w:pPr>
        <w:pStyle w:val="Heading2"/>
        <w:bidi/>
        <w:spacing w:after="200" w:before="360" w:line="420" w:lineRule="atLeast"/>
        <w:jc w:val="start"/>
      </w:pPr>
      <w:bookmarkStart w:id="100023" w:name="_Toc100023"/>
      <w:r>
        <w:rPr>
          <w:rFonts w:ascii="Times New Roman" w:cs="Simplified Arabic" w:hAnsi="Times New Roman"/>
          <w:b/>
          <w:bCs/>
          <w:i w:val="false"/>
          <w:iCs w:val="false"/>
          <w:color w:val="000000"/>
          <w:sz w:val="32"/>
          <w:szCs w:val="32"/>
          <w:rtl/>
        </w:rPr>
        <w:t xml:space="preserve">أولًا: المراجع العربية</w:t>
      </w:r>
      <w:bookmarkEnd w:id="100023"/>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24" w:name="_Toc100024"/>
      <w:r>
        <w:rPr>
          <w:rFonts w:ascii="Times New Roman" w:cs="Simplified Arabic" w:hAnsi="Times New Roman"/>
          <w:b/>
          <w:bCs/>
          <w:i w:val="false"/>
          <w:iCs w:val="false"/>
          <w:color w:val="000000"/>
          <w:sz w:val="32"/>
          <w:szCs w:val="32"/>
          <w:rtl/>
        </w:rPr>
        <w:t xml:space="preserve">ثانيًا: المراجع الأجنبية</w:t>
      </w:r>
      <w:bookmarkEnd w:id="100024"/>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النموذج الثالث</dc:title>
  <dc:creator>قسم التربية الرياضية</dc:creator>
  <cp:lastModifiedBy>Un-named</cp:lastModifiedBy>
  <cp:revision>1</cp:revision>
  <dcterms:created xsi:type="dcterms:W3CDTF">2026-09-30T16:11:53.990Z</dcterms:created>
  <dcterms:modified xsi:type="dcterms:W3CDTF">2026-09-30T16:11:53.990Z</dcterms:modified>
</cp:coreProperties>
</file>

<file path=docProps/custom.xml><?xml version="1.0" encoding="utf-8"?>
<Properties xmlns="http://schemas.openxmlformats.org/officeDocument/2006/custom-properties" xmlns:vt="http://schemas.openxmlformats.org/officeDocument/2006/docPropsVTypes"/>
</file>