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700" w:line="520" w:lineRule="atLeast"/>
        <w:jc w:val="center"/>
      </w:pPr>
      <w:r>
        <w:rPr>
          <w:rFonts w:ascii="Times New Roman" w:cs="Simplified Arabic" w:hAnsi="Times New Roman"/>
          <w:b/>
          <w:bCs/>
          <w:i w:val="false"/>
          <w:iCs w:val="false"/>
          <w:color w:val="000000"/>
          <w:sz w:val="44"/>
          <w:szCs w:val="44"/>
          <w:rtl/>
        </w:rPr>
        <w:t xml:space="preserve">【اسم الجامعة】</w:t>
      </w:r>
    </w:p>
    <w:p>
      <w:pPr>
        <w:bidi/>
        <w:spacing w:after="500" w:line="360" w:lineRule="atLeast"/>
        <w:jc w:val="center"/>
      </w:pPr>
      <w:r>
        <w:rPr>
          <w:rFonts w:ascii="Times New Roman" w:cs="Traditional Arabic" w:hAnsi="Times New Roman"/>
          <w:b w:val="false"/>
          <w:bCs w:val="false"/>
          <w:i w:val="false"/>
          <w:iCs w:val="false"/>
          <w:color w:val="000000"/>
          <w:sz w:val="28"/>
          <w:szCs w:val="28"/>
          <w:rtl/>
        </w:rPr>
        <w:t xml:space="preserve">كلية التربية الرياضية – قسم 【اسم القسم】</w:t>
      </w:r>
    </w:p>
    <w:p>
      <w:pPr>
        <w:bidi/>
        <w:spacing w:after="700" w:line="420" w:lineRule="atLeast"/>
        <w:jc w:val="center"/>
      </w:pPr>
      <w:r>
        <w:rPr>
          <w:rFonts w:ascii="Times New Roman" w:cs="Simplified Arabic" w:hAnsi="Times New Roman"/>
          <w:b/>
          <w:bCs/>
          <w:i w:val="false"/>
          <w:iCs w:val="false"/>
          <w:color w:val="000000"/>
          <w:sz w:val="34"/>
          <w:szCs w:val="34"/>
          <w:rtl/>
        </w:rPr>
        <w:t xml:space="preserve">مقترح بحث مقدم إلى لجنة مشروعات التخرج</w:t>
      </w:r>
    </w:p>
    <w:p>
      <w:pPr>
        <w:bidi/>
        <w:spacing w:after="160" w:line="340" w:lineRule="atLeast"/>
        <w:jc w:val="center"/>
      </w:pPr>
      <w:r>
        <w:rPr>
          <w:rFonts w:ascii="Times New Roman" w:cs="Traditional Arabic" w:hAnsi="Times New Roman"/>
          <w:b w:val="false"/>
          <w:bCs w:val="false"/>
          <w:i w:val="false"/>
          <w:iCs w:val="false"/>
          <w:color w:val="333333"/>
          <w:sz w:val="26"/>
          <w:szCs w:val="26"/>
          <w:rtl/>
        </w:rPr>
        <w:t xml:space="preserve">عنوان البحث</w:t>
      </w:r>
    </w:p>
    <w:p>
      <w:pPr>
        <w:bidi/>
        <w:spacing w:after="100" w:line="500" w:lineRule="atLeast"/>
        <w:jc w:val="center"/>
      </w:pPr>
      <w:r>
        <w:rPr>
          <w:rFonts w:ascii="Times New Roman" w:cs="Simplified Arabic" w:hAnsi="Times New Roman"/>
          <w:b/>
          <w:bCs/>
          <w:i w:val="false"/>
          <w:iCs w:val="false"/>
          <w:color w:val="000000"/>
          <w:sz w:val="40"/>
          <w:szCs w:val="40"/>
          <w:rtl/>
        </w:rPr>
        <w:t xml:space="preserve">تأثير الجهد البدني والعضلي</w:t>
      </w:r>
    </w:p>
    <w:p>
      <w:pPr>
        <w:bidi/>
        <w:spacing w:after="200" w:line="500" w:lineRule="atLeast"/>
        <w:jc w:val="center"/>
      </w:pPr>
      <w:r>
        <w:rPr>
          <w:rFonts w:ascii="Times New Roman" w:cs="Simplified Arabic" w:hAnsi="Times New Roman"/>
          <w:b/>
          <w:bCs/>
          <w:i w:val="false"/>
          <w:iCs w:val="false"/>
          <w:color w:val="000000"/>
          <w:sz w:val="40"/>
          <w:szCs w:val="40"/>
          <w:rtl/>
        </w:rPr>
        <w:t xml:space="preserve">على مرضى السكري</w:t>
      </w:r>
    </w:p>
    <w:p>
      <w:pPr>
        <w:spacing w:after="700" w:line="320" w:lineRule="atLeast"/>
        <w:jc w:val="center"/>
      </w:pPr>
      <w:r>
        <w:rPr>
          <w:rFonts w:ascii="Times New Roman" w:cs="Traditional Arabic" w:hAnsi="Times New Roman"/>
          <w:b w:val="false"/>
          <w:bCs w:val="false"/>
          <w:i/>
          <w:iCs/>
          <w:color w:val="000000"/>
          <w:sz w:val="24"/>
          <w:szCs w:val="24"/>
        </w:rPr>
        <w:t xml:space="preserve">The Effect of Physical and Muscular Exertion on Patients with Diabetes Mellitus</w:t>
      </w:r>
    </w:p>
    <w:tbl>
      <w:tblPr>
        <w:bidiVisual/>
        <w:tblW w:type="pct" w:w="62%"/>
        <w:jc w:val="center"/>
        <w:tblBorders>
          <w:top w:val="none" w:color="auto" w:sz="0"/>
          <w:left w:val="none" w:color="auto" w:sz="0"/>
          <w:bottom w:val="none" w:color="auto" w:sz="0"/>
          <w:right w:val="none" w:color="auto" w:sz="0"/>
          <w:insideH w:val="none" w:color="auto" w:sz="0"/>
          <w:insideV w:val="none" w:color="auto" w:sz="0"/>
        </w:tblBorders>
        <w:tblLayout w:type="fixed"/>
      </w:tblPr>
      <w:tblGrid>
        <w:gridCol w:w="100"/>
        <w:gridCol w:w="100"/>
      </w:tblGrid>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إعداد الطالب:</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الطالب】</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تحت إشراف:</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【اسم المشرف】</w:t>
            </w:r>
          </w:p>
        </w:tc>
      </w:tr>
      <w:tr>
        <w:trPr>
          <w:cantSplit/>
        </w:trPr>
        <w:tc>
          <w:tcPr>
            <w:tcW w:type="pct" w:w="34%"/>
            <w:tcBorders>
              <w:top w:val="none" w:color="auto" w:sz="0"/>
              <w:left w:val="none" w:color="auto" w:sz="0"/>
              <w:bottom w:val="none" w:color="auto" w:sz="0"/>
              <w:right w:val="none" w:color="auto" w:sz="0"/>
            </w:tcBorders>
            <w:tcMar>
              <w:top w:type="dxa" w:w="60"/>
              <w:left w:type="dxa" w:w="60"/>
              <w:bottom w:type="dxa" w:w="60"/>
              <w:right w:type="dxa" w:w="60"/>
            </w:tcMar>
          </w:tcPr>
          <w:p>
            <w:pPr>
              <w:bidi/>
              <w:spacing w:line="380" w:lineRule="atLeast"/>
              <w:jc w:val="start"/>
            </w:pPr>
            <w:r>
              <w:rPr>
                <w:rFonts w:ascii="Times New Roman" w:cs="Simplified Arabic" w:hAnsi="Times New Roman"/>
                <w:b/>
                <w:bCs/>
                <w:i w:val="false"/>
                <w:iCs w:val="false"/>
                <w:color w:val="000000"/>
                <w:sz w:val="28"/>
                <w:szCs w:val="28"/>
                <w:rtl/>
              </w:rPr>
              <w:t xml:space="preserve">العام الجامعي:</w:t>
            </w:r>
          </w:p>
        </w:tc>
        <w:tc>
          <w:tcPr>
            <w:tcW w:type="pct" w:w="66%"/>
            <w:tcBorders>
              <w:top w:val="none" w:color="auto" w:sz="0"/>
              <w:left w:val="none" w:color="auto" w:sz="0"/>
              <w:bottom w:val="single" w:color="000000" w:sz="4"/>
              <w:right w:val="none" w:color="auto" w:sz="0"/>
            </w:tcBorders>
            <w:tcMar>
              <w:top w:type="dxa" w:w="60"/>
              <w:left w:type="dxa" w:w="60"/>
              <w:bottom w:type="dxa" w:w="60"/>
              <w:right w:type="dxa" w:w="60"/>
            </w:tcMar>
          </w:tcPr>
          <w:p>
            <w:pPr>
              <w:bidi/>
              <w:spacing w:line="380" w:lineRule="atLeast"/>
              <w:jc w:val="center"/>
            </w:pPr>
            <w:r>
              <w:rPr>
                <w:rFonts w:ascii="Times New Roman" w:cs="Traditional Arabic" w:hAnsi="Times New Roman"/>
                <w:b w:val="false"/>
                <w:bCs w:val="false"/>
                <w:i w:val="false"/>
                <w:iCs w:val="false"/>
                <w:color w:val="000000"/>
                <w:sz w:val="28"/>
                <w:szCs w:val="28"/>
                <w:rtl/>
              </w:rPr>
              <w:t xml:space="preserve">【20 / 20】</w:t>
            </w:r>
          </w:p>
        </w:tc>
      </w:tr>
    </w:tbl>
    <w:p>
      <w:pPr>
        <w:bidi/>
        <w:spacing w:before="800" w:line="360" w:lineRule="atLeast"/>
        <w:jc w:val="center"/>
      </w:pPr>
      <w:r>
        <w:rPr>
          <w:rFonts w:ascii="Times New Roman" w:cs="Traditional Arabic" w:hAnsi="Times New Roman"/>
          <w:b w:val="false"/>
          <w:bCs w:val="false"/>
          <w:i w:val="false"/>
          <w:iCs w:val="false"/>
          <w:color w:val="000000"/>
          <w:sz w:val="28"/>
          <w:szCs w:val="28"/>
          <w:rtl/>
        </w:rPr>
        <w:t xml:space="preserve">【الشهر والسنة】</w:t>
      </w:r>
    </w:p>
    <w:p>
      <w:pPr>
        <w:sectPr>
          <w:pgSz w:w="11906" w:h="16838" w:orient="portrait"/>
          <w:pgMar w:top="1440" w:right="1417" w:bottom="1440" w:left="1701" w:header="850" w:footer="992" w:gutter="0"/>
          <w:docGrid w:linePitch="360"/>
        </w:sectPr>
      </w:pPr>
    </w:p>
    <w:p>
      <w:pPr>
        <w:bidi/>
        <w:spacing w:after="360" w:before="480" w:line="460" w:lineRule="atLeast"/>
        <w:jc w:val="center"/>
      </w:pPr>
      <w:r>
        <w:rPr>
          <w:rFonts w:ascii="Times New Roman" w:cs="Simplified Arabic" w:hAnsi="Times New Roman"/>
          <w:b/>
          <w:bCs/>
          <w:i w:val="false"/>
          <w:iCs w:val="false"/>
          <w:color w:val="000000"/>
          <w:sz w:val="36"/>
          <w:szCs w:val="36"/>
          <w:rtl/>
        </w:rPr>
        <w:t xml:space="preserve">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أولًا: بيانات البحث الأساسية</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ثانيًا: مقدمة موجزة عن الموضوع</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ثالثًا: مشكلة البحث وتساؤلاته</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رابعًا: أهداف البحث وفرضياته</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خامسًا: أهمية البحث</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سادسًا: المنهجية المقترحة باختصار</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التصميم والعينة</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البرنامج التدريبي ومقاييس المتابعة</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سابعًا: الخطة الزمنية للتنفيذ</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ثامنًا: المخرجات المتوقعة</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تاسعًا: قائمة المراجع المختارة</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أولًا: المراجع العربية</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ثانيًا: المراجع الأجنبية</w:t>
            </w:r>
            <w:r>
              <w:tab/>
            </w:r>
            <w:r>
              <w:fldChar w:fldCharType="begin"/>
            </w:r>
            <w:r>
              <w:instrText xml:space="preserve"> PAGEREF _Toc100012 \h </w:instrText>
            </w:r>
            <w:r>
              <w:fldChar w:fldCharType="separate"/>
            </w:r>
            <w:r>
              <w:t>5</w:t>
            </w:r>
            <w:r>
              <w:fldChar w:fldCharType="end"/>
            </w:r>
          </w:hyperlink>
        </w:p>
        <w:p>
          <w:r>
            <w:fldChar w:fldCharType="end"/>
          </w:r>
        </w:p>
      </w:sdtContent>
    </w:sdt>
    <w:p>
      <w:pPr>
        <w:bidi/>
        <w:spacing w:before="200" w:line="300" w:lineRule="atLeast"/>
      </w:pPr>
      <w:r>
        <w:rPr>
          <w:rFonts w:ascii="Times New Roman" w:cs="Traditional Arabic" w:hAnsi="Times New Roman"/>
          <w:b w:val="false"/>
          <w:bCs w:val="false"/>
          <w:i/>
          <w:iCs/>
          <w:color w:val="888888"/>
          <w:sz w:val="18"/>
          <w:szCs w:val="18"/>
          <w:rtl/>
        </w:rPr>
        <w:t xml:space="preserve">ملاحظة: هذا الجدول مولد آليًا برموز الحقول، وبعد أي تعديل انقر بزر الفأرة الأيمن على الجدول واختر تحديث الحقل لضبط أرقام الصفحات.</w:t>
      </w:r>
    </w:p>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bidi/>
        <w:spacing w:after="300" w:before="0" w:line="460" w:lineRule="atLeast"/>
        <w:jc w:val="center"/>
      </w:pPr>
      <w:bookmarkStart w:id="100000" w:name="_Toc100000"/>
      <w:r>
        <w:rPr>
          <w:rFonts w:ascii="Times New Roman" w:cs="Simplified Arabic" w:hAnsi="Times New Roman"/>
          <w:b/>
          <w:bCs/>
          <w:i w:val="false"/>
          <w:iCs w:val="false"/>
          <w:color w:val="000000"/>
          <w:sz w:val="36"/>
          <w:szCs w:val="36"/>
          <w:rtl/>
        </w:rPr>
        <w:t xml:space="preserve">أولًا: بيانات البحث الأساسية</w:t>
      </w:r>
      <w:bookmarkEnd w:id="100000"/>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(1): البيانات التعريفية للمقترح</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tblGrid>
      <w:tr>
        <w:trPr>
          <w:cantSplit/>
          <w:tblHeader/>
        </w:trPr>
        <w:tc>
          <w:tcPr>
            <w:tcW w:type="pct" w:w="2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البند</w:t>
            </w:r>
          </w:p>
        </w:tc>
        <w:tc>
          <w:tcPr>
            <w:tcW w:type="pct" w:w="74%"/>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البيان</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عنوان البحث</w:t>
            </w:r>
          </w:p>
        </w:tc>
        <w:tc>
          <w:tcPr>
            <w:tcW w:type="pct" w:w="7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تأثير الجهد البدني والعضلي على مرضى السكري</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نوع البحث</w:t>
            </w:r>
          </w:p>
        </w:tc>
        <w:tc>
          <w:tcPr>
            <w:tcW w:type="pct" w:w="7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بحث تخرج تجريبي شبه تجريبي (مجموعتان وقياسان قبلي وبعدي)</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التخصص</w:t>
            </w:r>
          </w:p>
        </w:tc>
        <w:tc>
          <w:tcPr>
            <w:tcW w:type="pct" w:w="7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التربية الرياضية – علم التدريب والفسيولوجيا / الرياضة والفئات الخاصة</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الطالب المنفذ</w:t>
            </w:r>
          </w:p>
        </w:tc>
        <w:tc>
          <w:tcPr>
            <w:tcW w:type="pct" w:w="7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【اسم الطالب】 – السنة الرابعة</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المشرف العلمي</w:t>
            </w:r>
          </w:p>
        </w:tc>
        <w:tc>
          <w:tcPr>
            <w:tcW w:type="pct" w:w="7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【اسم المشرف والدرجة العلمية】</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مكان التطبيق</w:t>
            </w:r>
          </w:p>
        </w:tc>
        <w:tc>
          <w:tcPr>
            <w:tcW w:type="pct" w:w="7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【اسم المركز الصحي/الأكاديمية الرياضية】</w:t>
            </w:r>
          </w:p>
        </w:tc>
      </w:tr>
      <w:tr>
        <w:trPr>
          <w:cantSplit/>
        </w:trPr>
        <w:tc>
          <w:tcPr>
            <w:tcW w:type="pct" w:w="2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مدة التطبيق</w:t>
            </w:r>
          </w:p>
        </w:tc>
        <w:tc>
          <w:tcPr>
            <w:tcW w:type="pct" w:w="74%"/>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12 أسبوعاً تدريبياً إضافة إلى فترتي القياس القبلي والبعدي</w:t>
            </w:r>
          </w:p>
        </w:tc>
      </w:tr>
    </w:tbl>
    <w:p>
      <w:pPr>
        <w:pStyle w:val="Heading1"/>
        <w:bidi/>
        <w:spacing w:after="300" w:before="360" w:line="460" w:lineRule="atLeast"/>
        <w:jc w:val="center"/>
      </w:pPr>
      <w:bookmarkStart w:id="100001" w:name="_Toc100001"/>
      <w:r>
        <w:rPr>
          <w:rFonts w:ascii="Times New Roman" w:cs="Simplified Arabic" w:hAnsi="Times New Roman"/>
          <w:b/>
          <w:bCs/>
          <w:i w:val="false"/>
          <w:iCs w:val="false"/>
          <w:color w:val="000000"/>
          <w:sz w:val="36"/>
          <w:szCs w:val="36"/>
          <w:rtl/>
        </w:rPr>
        <w:t xml:space="preserve">ثانيًا: مقدمة موجزة عن الموضوع</w:t>
      </w:r>
      <w:bookmarkEnd w:id="100001"/>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يُعد مرض السكري من النمط الثاني من أسرع الأمراض المزمنة انتشاراً في العالم العربي والعالم، ويرتبط نمطه بأسلوب الحياة قليل الحركة وتراجع النشاط البدني اليومي. وقد أثبتت الدراسات العالمية أن التدخل الحياتي القائم على الجهد البدني المنتظم خفض معدلات الإصابة بالسكري بنسبة 58 في المائة في التجربة العالمية الأشهر (Diabetes Prevention Program Research Group, 2002)، وأن البرامج التدريبية المنظمة تخفض السكر التراكمي بمتوسط يقارب 0.67 في المائة مع تفوق الجمع بين التمارين الهوائية وتمارين المقاومة على كل نمط منفرد (Umpierre et al., 2011; Kanaley et al., 2016). ومن هنا يأتي هذا البحث ليترجم هذه الأدلة العالمية إلى برنامج تدريبي عربي مضبوط قابل للتطبيق على مرضى السكري بمراقبة علمية كاملة.</w:t>
      </w:r>
    </w:p>
    <w:p>
      <w:pPr>
        <w:pStyle w:val="Heading1"/>
        <w:bidi/>
        <w:spacing w:after="300" w:before="480" w:line="460" w:lineRule="atLeast"/>
        <w:jc w:val="center"/>
      </w:pPr>
      <w:bookmarkStart w:id="100002" w:name="_Toc100002"/>
      <w:r>
        <w:rPr>
          <w:rFonts w:ascii="Times New Roman" w:cs="Simplified Arabic" w:hAnsi="Times New Roman"/>
          <w:b/>
          <w:bCs/>
          <w:i w:val="false"/>
          <w:iCs w:val="false"/>
          <w:color w:val="000000"/>
          <w:sz w:val="36"/>
          <w:szCs w:val="36"/>
          <w:rtl/>
        </w:rPr>
        <w:t xml:space="preserve">ثالثًا: مشكلة البحث وتساؤلاته</w:t>
      </w:r>
      <w:bookmarkEnd w:id="100002"/>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تكشف الممارسة العملية أن غالبية البرامج المطبقة على مرضى السكري في الأوساط المحلية إما عامة غير مضبوطة الجرعة، أو أحادية النمط، في حين تشير الأدلة إلى أن الدمج بين الجهد البدني الهوائي والجهد العضلي المقاوم هو المضبوط علمياً لتحقيق أفضل أثر أيضي وحركي. وتتحدد مشكلة البحث في الحاجة إلى تصميم واختبار برنامج تدريبي مدمج مضبوط الجرعة لدى مرضى السكري النمط الثاني، والإجابة عن التساؤل الرئيس: ما تأثير البرنامج التدريبي المدمج المقترح في السكر التراكمي ومقاومة الإنسولين والقوة العضلية ومؤشر كتلة الجسم لدى مرضى السكري النمط الثاني؟ وتتفرع عنه تساؤلات حول دلالة الفروق بين القياسين القبلي والبعدي للمجموعة التجريبية، ودلالة الفروق بين المجموعتين في القياس البعدي.</w:t>
      </w:r>
    </w:p>
    <w:p>
      <w:pPr>
        <w:pStyle w:val="Heading1"/>
        <w:bidi/>
        <w:spacing w:after="300" w:before="480" w:line="460" w:lineRule="atLeast"/>
        <w:jc w:val="center"/>
      </w:pPr>
      <w:bookmarkStart w:id="100003" w:name="_Toc100003"/>
      <w:r>
        <w:rPr>
          <w:rFonts w:ascii="Times New Roman" w:cs="Simplified Arabic" w:hAnsi="Times New Roman"/>
          <w:b/>
          <w:bCs/>
          <w:i w:val="false"/>
          <w:iCs w:val="false"/>
          <w:color w:val="000000"/>
          <w:sz w:val="36"/>
          <w:szCs w:val="36"/>
          <w:rtl/>
        </w:rPr>
        <w:t xml:space="preserve">رابعًا: أهداف البحث وفرضياته</w:t>
      </w:r>
      <w:bookmarkEnd w:id="100003"/>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يستهدف البحث تصميم برنامج تدريبي مدمج آمن لمرضى السكري النمط الثاني، والكشف عن أثره في مؤشرات ضبط السكر ومقاومة الإنسولين، وقياس تطور القوة العضلية ومؤشر كتلة الجسم، وصياغة توصيات تطبيقية للمراكز الصحية. وعليه تُختبر الفرضيات الآتية عند مستوى 0.05:</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1. توجد فروق دالة إحصائياً بين متوسطي القياسين القبلي والبعدي للمجموعة التجريبية في السكر التراكمي والسكر الصائم لصالح القياس البعدي.</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2. توجد فروق دالة إحصائياً بين المجموعة التجريبية والمجموعة الضابطة في القياس البعدي لمؤشرات ضبط السكر لصالح التجريبية.</w:t>
      </w:r>
    </w:p>
    <w:p>
      <w:pPr>
        <w:bidi/>
        <w:spacing w:after="120" w:before="0" w:line="360" w:lineRule="atLeast"/>
        <w:jc w:val="both"/>
      </w:pPr>
      <w:r>
        <w:rPr>
          <w:rFonts w:ascii="Times New Roman" w:cs="Traditional Arabic" w:hAnsi="Times New Roman"/>
          <w:b w:val="false"/>
          <w:bCs w:val="false"/>
          <w:i w:val="false"/>
          <w:iCs w:val="false"/>
          <w:color w:val="000000"/>
          <w:sz w:val="32"/>
          <w:szCs w:val="32"/>
          <w:rtl/>
        </w:rPr>
        <w:t xml:space="preserve">3. توجد فروق دالة إحصائياً في القوة العضلية ومؤشر كتلة الجسم بين القياسين القبلي والبعدي للمجموعة التجريبية.</w:t>
      </w:r>
    </w:p>
    <w:p>
      <w:pPr>
        <w:pStyle w:val="Heading1"/>
        <w:bidi/>
        <w:spacing w:after="300" w:before="480" w:line="460" w:lineRule="atLeast"/>
        <w:jc w:val="center"/>
      </w:pPr>
      <w:bookmarkStart w:id="100004" w:name="_Toc100004"/>
      <w:r>
        <w:rPr>
          <w:rFonts w:ascii="Times New Roman" w:cs="Simplified Arabic" w:hAnsi="Times New Roman"/>
          <w:b/>
          <w:bCs/>
          <w:i w:val="false"/>
          <w:iCs w:val="false"/>
          <w:color w:val="000000"/>
          <w:sz w:val="36"/>
          <w:szCs w:val="36"/>
          <w:rtl/>
        </w:rPr>
        <w:t xml:space="preserve">خامسًا: أهمية البحث</w:t>
      </w:r>
      <w:bookmarkEnd w:id="100004"/>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تعود أهمية البحث العلمية على إثراء المكتبة العربية بدراسة تجريبية مضبوطة تربط بين جرعة الجهد البدني والعضلي والاستجابات الأيضية لدى مرضى السكري، في مجال يزداد اهتمام الجمعيات العلمية الدولية به عاماً بعد عام. أما تطبيقياً فيقدم البحث برنامجاً تدريبياً موثق الحصص والشدات يمكن لأخصائيي المعالجة الرياضية والمراكز الصحية اعتماده مباشرة، ويمنح أطباء الغدد الصماء قاعدة علمية لإحالة مرضاهم إلى البرامج الرياضية المراقبة، بما يخفض عبء المرض وتكلفة علاجه على المجتمع ونظام الرعاية الصحية.</w:t>
      </w:r>
    </w:p>
    <w:p>
      <w:pPr>
        <w:pStyle w:val="Heading1"/>
        <w:bidi/>
        <w:spacing w:after="300" w:before="480" w:line="460" w:lineRule="atLeast"/>
        <w:jc w:val="center"/>
      </w:pPr>
      <w:bookmarkStart w:id="100005" w:name="_Toc100005"/>
      <w:r>
        <w:rPr>
          <w:rFonts w:ascii="Times New Roman" w:cs="Simplified Arabic" w:hAnsi="Times New Roman"/>
          <w:b/>
          <w:bCs/>
          <w:i w:val="false"/>
          <w:iCs w:val="false"/>
          <w:color w:val="000000"/>
          <w:sz w:val="36"/>
          <w:szCs w:val="36"/>
          <w:rtl/>
        </w:rPr>
        <w:t xml:space="preserve">سادسًا: المنهجية المقترحة باختصار</w:t>
      </w:r>
      <w:bookmarkEnd w:id="100005"/>
    </w:p>
    <w:p>
      <w:pPr>
        <w:pStyle w:val="Heading2"/>
        <w:bidi/>
        <w:spacing w:after="200" w:before="360" w:line="420" w:lineRule="atLeast"/>
        <w:jc w:val="start"/>
      </w:pPr>
      <w:bookmarkStart w:id="100006" w:name="_Toc100006"/>
      <w:r>
        <w:rPr>
          <w:rFonts w:ascii="Times New Roman" w:cs="Simplified Arabic" w:hAnsi="Times New Roman"/>
          <w:b/>
          <w:bCs/>
          <w:i w:val="false"/>
          <w:iCs w:val="false"/>
          <w:color w:val="000000"/>
          <w:sz w:val="32"/>
          <w:szCs w:val="32"/>
          <w:rtl/>
        </w:rPr>
        <w:t xml:space="preserve">التصميم والعينة</w:t>
      </w:r>
      <w:bookmarkEnd w:id="100006"/>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يعتمد البحث المنهج شبه التجريبي بمجموعتين وقياسين قبلي وبعدي، على عينة قصدية من 30 مريضاً بالسكري النمط الثاني في الفئة العمرية من 40 إلى 60 عاماً، توزع بالتساوي على مجموعة تجريبية تتلقى البرنامج ومجموعة ضابطة تحافظ على نمطها المعتاد. ويشترط في المشاركين التشخيص الطبي المؤكد، واستقرار الجرعات الدوائية أربعة أسابيع قبل التجربة، وغياب الموانع الطبية للجهد المعتدل، والحصول على الموافقة الأخلاقية والموافقة العلمية المستنيرة.</w:t>
      </w:r>
    </w:p>
    <w:p>
      <w:pPr>
        <w:pStyle w:val="Heading2"/>
        <w:bidi/>
        <w:spacing w:after="200" w:before="360" w:line="420" w:lineRule="atLeast"/>
        <w:jc w:val="start"/>
      </w:pPr>
      <w:bookmarkStart w:id="100007" w:name="_Toc100007"/>
      <w:r>
        <w:rPr>
          <w:rFonts w:ascii="Times New Roman" w:cs="Simplified Arabic" w:hAnsi="Times New Roman"/>
          <w:b/>
          <w:bCs/>
          <w:i w:val="false"/>
          <w:iCs w:val="false"/>
          <w:color w:val="000000"/>
          <w:sz w:val="32"/>
          <w:szCs w:val="32"/>
          <w:rtl/>
        </w:rPr>
        <w:t xml:space="preserve">البرنامج التدريبي ومقاييس المتابعة</w:t>
      </w:r>
      <w:bookmarkEnd w:id="100007"/>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يمتد البرنامج 12 أسبوعاً بمعدل ثلاث حصص أسبوعياً (150 دقيقة أسبوعياً فأكثر) بحصتين هوائيتين وحصة مقاومة، وشدة متدرجة من 40 إلى 60 في المائة للنمطين، وتتحول الحصص إلى دمج للنمطين في الثلث الأخير من البرنامج. وتُقاس المتغيرات التابعة قياساً قبلياً وبعدياً عبر التحاليل المخبرية للسكر التراكمي والصائم والإنسولين لحساب مقاومة الإنسولين HOMA-IR، ومقياس القوة اليدوية الدينامومترية، واختبار القوة للجسم السفلي، ومؤشر كتلة الجسم. وتعالج البيانات إحصائياً باختبار (ت) المرتبط واختبار (ت) المستقل عند مستوى 0.05.</w:t>
      </w:r>
    </w:p>
    <w:p>
      <w:pPr>
        <w:pStyle w:val="Heading1"/>
        <w:bidi/>
        <w:spacing w:after="300" w:before="480" w:line="460" w:lineRule="atLeast"/>
        <w:jc w:val="center"/>
      </w:pPr>
      <w:bookmarkStart w:id="100008" w:name="_Toc100008"/>
      <w:r>
        <w:rPr>
          <w:rFonts w:ascii="Times New Roman" w:cs="Simplified Arabic" w:hAnsi="Times New Roman"/>
          <w:b/>
          <w:bCs/>
          <w:i w:val="false"/>
          <w:iCs w:val="false"/>
          <w:color w:val="000000"/>
          <w:sz w:val="36"/>
          <w:szCs w:val="36"/>
          <w:rtl/>
        </w:rPr>
        <w:t xml:space="preserve">سابعًا: الخطة الزمنية للتنفيذ</w:t>
      </w:r>
      <w:bookmarkEnd w:id="100008"/>
    </w:p>
    <w:p>
      <w:pPr>
        <w:keepNext/>
        <w:bidi/>
        <w:spacing w:after="120" w:before="240" w:line="320" w:lineRule="atLeast"/>
        <w:jc w:val="center"/>
      </w:pPr>
      <w:r>
        <w:rPr>
          <w:rFonts w:ascii="Times New Roman" w:cs="Traditional Arabic" w:hAnsi="Times New Roman"/>
          <w:b/>
          <w:bCs/>
          <w:i w:val="false"/>
          <w:iCs w:val="false"/>
          <w:color w:val="000000"/>
          <w:sz w:val="24"/>
          <w:szCs w:val="24"/>
          <w:rtl/>
        </w:rPr>
        <w:t xml:space="preserve">جدول (2): مراحل التنفيذ المزمعة</w:t>
      </w:r>
    </w:p>
    <w:tbl>
      <w:tblPr>
        <w:bidiVisual/>
        <w:tblW w:type="pct" w:w="100%"/>
        <w:tblBorders>
          <w:top w:val="single" w:color="000000" w:sz="6"/>
          <w:left w:val="none" w:color="auto" w:sz="0"/>
          <w:bottom w:val="single" w:color="000000" w:sz="6"/>
          <w:right w:val="none" w:color="auto" w:sz="0"/>
          <w:insideH w:val="none" w:color="auto" w:sz="0"/>
          <w:insideV w:val="none" w:color="auto" w:sz="0"/>
        </w:tblBorders>
        <w:tblLayout w:type="fixed"/>
      </w:tblPr>
      <w:tblGrid>
        <w:gridCol w:w="100"/>
        <w:gridCol w:w="100"/>
        <w:gridCol w:w="100"/>
      </w:tblGrid>
      <w:tr>
        <w:trPr>
          <w:cantSplit/>
          <w:tblHeader/>
        </w:trPr>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المرحلة</w:t>
            </w:r>
          </w:p>
        </w:tc>
        <w:tc>
          <w:tcPr>
            <w:tcW w:type="pct" w:w="56%"/>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المحتوى</w:t>
            </w:r>
          </w:p>
        </w:tc>
        <w:tc>
          <w:tcPr>
            <w:tcW w:type="pct" w:w="22%"/>
            <w:tcBorders>
              <w:top w:val="none" w:color="auto" w:sz="0"/>
              <w:left w:val="none" w:color="auto" w:sz="0"/>
              <w:bottom w:val="single" w:color="000000" w:sz="4"/>
              <w:right w:val="none" w:color="auto" w:sz="0"/>
            </w:tcBorders>
            <w:tcMar>
              <w:top w:type="dxa" w:w="60"/>
              <w:left w:type="dxa" w:w="100"/>
              <w:bottom w:type="dxa" w:w="60"/>
              <w:right w:type="dxa" w:w="100"/>
            </w:tcMar>
            <w:vAlign w:val="center"/>
          </w:tcPr>
          <w:p>
            <w:pPr>
              <w:bidi/>
              <w:spacing w:line="320" w:lineRule="atLeast"/>
              <w:jc w:val="center"/>
            </w:pPr>
            <w:r>
              <w:rPr>
                <w:rFonts w:ascii="Times New Roman" w:cs="Simplified Arabic" w:hAnsi="Times New Roman"/>
                <w:b/>
                <w:bCs/>
                <w:i w:val="false"/>
                <w:iCs w:val="false"/>
                <w:color w:val="000000"/>
                <w:sz w:val="24"/>
                <w:szCs w:val="24"/>
                <w:rtl/>
              </w:rPr>
              <w:t xml:space="preserve">التوقيت</w:t>
            </w:r>
          </w:p>
        </w:tc>
      </w:tr>
      <w:tr>
        <w:trPr>
          <w:cantSplit/>
        </w:trPr>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اعتماد المقترح</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مناقشة المقترح مع اللجنة وتثبيت الموضوع والمشرف</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1】</w:t>
            </w:r>
          </w:p>
        </w:tc>
      </w:tr>
      <w:tr>
        <w:trPr>
          <w:cantSplit/>
        </w:trPr>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الإعداد</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start"/>
            </w:pPr>
            <w:r>
              <w:rPr>
                <w:rFonts w:ascii="Times New Roman" w:cs="Traditional Arabic" w:hAnsi="Times New Roman"/>
                <w:b w:val="false"/>
                <w:bCs w:val="false"/>
                <w:i w:val="false"/>
                <w:iCs w:val="false"/>
                <w:color w:val="000000"/>
                <w:sz w:val="24"/>
                <w:szCs w:val="24"/>
                <w:rtl/>
              </w:rPr>
              <w:t xml:space="preserve">حصر المراجع، وإعداد الأدوات والبرنامج، واستصدار الموافقات الأخلاقية</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2 – الشهر 3】</w:t>
            </w:r>
          </w:p>
        </w:tc>
      </w:tr>
      <w:tr>
        <w:trPr>
          <w:cantSplit/>
        </w:trPr>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القياس القبلي</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تكوين العينة والتحاليل المخبرية والقياسات الحركية القبلية</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3】</w:t>
            </w:r>
          </w:p>
        </w:tc>
      </w:tr>
      <w:tr>
        <w:trPr>
          <w:cantSplit/>
        </w:trPr>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التطبيق التدريبي</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تنفيذ البرنامج التدريبي 12 أسبوعاً بمتابعة سجل الحصص</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4 – الشهر 6】</w:t>
            </w:r>
          </w:p>
        </w:tc>
      </w:tr>
      <w:tr>
        <w:trPr>
          <w:cantSplit/>
        </w:trPr>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القياس البعدي والتحليل</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التحاليل والقياسات البعدية ومعالجة البيانات إحصائياً</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7】</w:t>
            </w:r>
          </w:p>
        </w:tc>
      </w:tr>
      <w:tr>
        <w:trPr>
          <w:cantSplit/>
        </w:trPr>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الكتابة والمناقشة</w:t>
            </w:r>
          </w:p>
        </w:tc>
        <w:tc>
          <w:tcPr>
            <w:tcW w:type="pct" w:w="56%"/>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إعداد الأطروحة النهائية ومناقشتها أمام اللجنة</w:t>
            </w:r>
          </w:p>
        </w:tc>
        <w:tc>
          <w:tcPr>
            <w:tcW w:type="pct" w:w="22%"/>
            <w:tcBorders>
              <w:top w:val="none" w:color="auto" w:sz="0"/>
              <w:left w:val="none" w:color="auto" w:sz="0"/>
              <w:bottom w:val="none" w:color="auto" w:sz="0"/>
              <w:right w:val="none" w:color="auto" w:sz="0"/>
            </w:tcBorders>
            <w:tcMar>
              <w:top w:type="dxa" w:w="50"/>
              <w:left w:type="dxa" w:w="100"/>
              <w:bottom w:type="dxa" w:w="50"/>
              <w:right w:type="dxa" w:w="100"/>
            </w:tcMar>
            <w:vAlign w:val="center"/>
          </w:tcPr>
          <w:p>
            <w:pPr>
              <w:bidi/>
              <w:spacing w:line="320" w:lineRule="atLeast"/>
              <w:jc w:val="center"/>
            </w:pPr>
            <w:r>
              <w:rPr>
                <w:rFonts w:ascii="Times New Roman" w:cs="Traditional Arabic" w:hAnsi="Times New Roman"/>
                <w:b w:val="false"/>
                <w:bCs w:val="false"/>
                <w:i w:val="false"/>
                <w:iCs w:val="false"/>
                <w:color w:val="000000"/>
                <w:sz w:val="24"/>
                <w:szCs w:val="24"/>
                <w:rtl/>
              </w:rPr>
              <w:t xml:space="preserve">【الشهر 8】</w:t>
            </w:r>
          </w:p>
        </w:tc>
      </w:tr>
    </w:tbl>
    <w:p>
      <w:pPr>
        <w:pStyle w:val="Heading1"/>
        <w:bidi/>
        <w:spacing w:after="300" w:before="480" w:line="460" w:lineRule="atLeast"/>
        <w:jc w:val="center"/>
      </w:pPr>
      <w:bookmarkStart w:id="100009" w:name="_Toc100009"/>
      <w:r>
        <w:rPr>
          <w:rFonts w:ascii="Times New Roman" w:cs="Simplified Arabic" w:hAnsi="Times New Roman"/>
          <w:b/>
          <w:bCs/>
          <w:i w:val="false"/>
          <w:iCs w:val="false"/>
          <w:color w:val="000000"/>
          <w:sz w:val="36"/>
          <w:szCs w:val="36"/>
          <w:rtl/>
        </w:rPr>
        <w:t xml:space="preserve">ثامنًا: المخرجات المتوقعة</w:t>
      </w:r>
      <w:bookmarkEnd w:id="100009"/>
    </w:p>
    <w:p>
      <w:pPr>
        <w:bidi/>
        <w:spacing w:after="120" w:before="0" w:line="360" w:lineRule="atLeast"/>
        <w:ind w:firstLine="480"/>
        <w:jc w:val="both"/>
      </w:pPr>
      <w:r>
        <w:rPr>
          <w:rFonts w:ascii="Times New Roman" w:cs="Traditional Arabic" w:hAnsi="Times New Roman"/>
          <w:b w:val="false"/>
          <w:bCs w:val="false"/>
          <w:i w:val="false"/>
          <w:iCs w:val="false"/>
          <w:color w:val="000000"/>
          <w:sz w:val="32"/>
          <w:szCs w:val="32"/>
          <w:rtl/>
        </w:rPr>
        <w:t xml:space="preserve">يُتوقع من البحث عند اكتماله تقديم ثلاثة مخرجات رئيسة: أطروحة تخرج متكاملة موثقة بالتحاليل المخبرية والقياسات الحركية، وبرنامج تدريبي مدمج جاهز للتطبيق يمكن نشره كدليل عملي للمراكز الصحية والنوادي العلاجية، وورقة بحثية قابلة للتقديم إلى أحد المؤتمرات أو المجلات العلمية المتخصصة في علوم الرياضة. كما يسهم البحث في بناء خبرة تطبيقية لدى الطالب الباحث في التعامل مع الفئات الصحية الخاصة، وهي كفاءة مطلوبة في سوق العمل الصحي والرياضي.</w:t>
      </w:r>
    </w:p>
    <w:p>
      <w:pPr>
        <w:pStyle w:val="Heading1"/>
        <w:bidi/>
        <w:spacing w:after="300" w:before="480" w:line="460" w:lineRule="atLeast"/>
        <w:jc w:val="center"/>
      </w:pPr>
      <w:bookmarkStart w:id="100010" w:name="_Toc100010"/>
      <w:r>
        <w:rPr>
          <w:rFonts w:ascii="Times New Roman" w:cs="Simplified Arabic" w:hAnsi="Times New Roman"/>
          <w:b/>
          <w:bCs/>
          <w:i w:val="false"/>
          <w:iCs w:val="false"/>
          <w:color w:val="000000"/>
          <w:sz w:val="36"/>
          <w:szCs w:val="36"/>
          <w:rtl/>
        </w:rPr>
        <w:t xml:space="preserve">تاسعًا: قائمة المراجع المختارة</w:t>
      </w:r>
      <w:bookmarkEnd w:id="100010"/>
    </w:p>
    <w:p>
      <w:pPr>
        <w:pStyle w:val="Heading2"/>
        <w:bidi/>
        <w:spacing w:after="200" w:before="360" w:line="420" w:lineRule="atLeast"/>
        <w:jc w:val="start"/>
      </w:pPr>
      <w:bookmarkStart w:id="100011" w:name="_Toc100011"/>
      <w:r>
        <w:rPr>
          <w:rFonts w:ascii="Times New Roman" w:cs="Simplified Arabic" w:hAnsi="Times New Roman"/>
          <w:b/>
          <w:bCs/>
          <w:i w:val="false"/>
          <w:iCs w:val="false"/>
          <w:color w:val="000000"/>
          <w:sz w:val="32"/>
          <w:szCs w:val="32"/>
          <w:rtl/>
        </w:rPr>
        <w:t xml:space="preserve">أولًا: المراجع العربية</w:t>
      </w:r>
      <w:bookmarkEnd w:id="100011"/>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الكيتاني، محفوظة. تأثير برنامج تدريبي هوائي مقترح على مستوى السكر التراكمي ومقاومة الإنسولين وبعض المؤشرات المرتبطة لدى المصابات بمرض السكري من النوع الثاني في سلطنة عمان. قاعدة بيانات دار المنظومة (المنهل)، متاح على الرابط: search.mandumah.com.</w:t>
      </w:r>
    </w:p>
    <w:p>
      <w:pPr>
        <w:bidi/>
        <w:spacing w:after="100" w:line="340" w:lineRule="atLeast"/>
        <w:ind w:left="420" w:hanging="420"/>
        <w:jc w:val="both"/>
      </w:pPr>
      <w:r>
        <w:rPr>
          <w:rFonts w:ascii="Times New Roman" w:cs="Traditional Arabic" w:hAnsi="Times New Roman"/>
          <w:b w:val="false"/>
          <w:bCs w:val="false"/>
          <w:i w:val="false"/>
          <w:iCs w:val="false"/>
          <w:color w:val="000000"/>
          <w:sz w:val="28"/>
          <w:szCs w:val="28"/>
          <w:rtl/>
        </w:rPr>
        <w:t xml:space="preserve">دراسة تأثير البرنامج الترويحي في تنظيم سكر الدم والأنسولين للمرضى المصابين بمرض السكري من النوع الثاني. موقع المتميز للعلوم والتقنية (mobt3ath.com)، متاح على الرابط: www.mobt3ath.com.</w:t>
      </w:r>
    </w:p>
    <w:p>
      <w:pPr>
        <w:pStyle w:val="Heading2"/>
        <w:bidi/>
        <w:spacing w:after="200" w:before="360" w:line="420" w:lineRule="atLeast"/>
        <w:jc w:val="start"/>
      </w:pPr>
      <w:bookmarkStart w:id="100012" w:name="_Toc100012"/>
      <w:r>
        <w:rPr>
          <w:rFonts w:ascii="Times New Roman" w:cs="Simplified Arabic" w:hAnsi="Times New Roman"/>
          <w:b/>
          <w:bCs/>
          <w:i w:val="false"/>
          <w:iCs w:val="false"/>
          <w:color w:val="000000"/>
          <w:sz w:val="32"/>
          <w:szCs w:val="32"/>
          <w:rtl/>
        </w:rPr>
        <w:t xml:space="preserve">ثانيًا: المراجع الأجنبية</w:t>
      </w:r>
      <w:bookmarkEnd w:id="100012"/>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Colberg, S. R., Sigal, R. J., Fernhall, B., Regensteiner, J. G., Blissmer, B. J., Rubin, R. R., et al. (2010). Exercise and type 2 diabetes: The American College of Sports Medicine and the American Diabetes Association joint position statement. Diabetes Care, 33(7), e147-e167.</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Diabetes Prevention Program Research Group. (2002). Reduction in the incidence of type 2 diabetes with lifestyle intervention or metformin. New England Journal of Medicine, 346(6), 393-403.</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Hungerford, K. (2024). The effects of exercise on diabetes mellitus type 2. University of Wyoming — Wyoscholar Institutional Repository. Available at: wyoscholar.uwyo.edu.</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Holten, M. K., Zacho, M., Gaster, M., Juel, C., Wojtaszewski, J. F. P., &amp; Dela, F. (2004). Strength training increases insulin-mediated glucose uptake, GLUT4 content, and insulin signaling in skeletal muscle in patients with type 2 diabetes. Diabetes, 53(2), 294-304.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Kanaley, J. A., Colberg, S. R., Corcoran, M. H., Malin, S. K., Rodriguez, A. C., Crespo, C. J., et al. (2016). Exercise/physical activity in individuals with type 2 diabetes: A position statement of the American Diabetes Association. Diabetes Care, 39(11), 2065-2079.</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Look AHEAD Research Group. (2013). Cardiovascular effects of intensive lifestyle intervention in type 2 diabetes. New England Journal of Medicine, 369(2), 145-154.</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Niemann, M. K. J., et al. (2020). Strength training and insulin resistance: The mediating role of body composition. Journal of Physical Activity and Health, 17(9). Available via PubMed.</w:t>
      </w:r>
    </w:p>
    <w:p>
      <w:pPr>
        <w:spacing w:after="100" w:line="300" w:lineRule="atLeast"/>
        <w:ind w:left="420" w:hanging="420"/>
        <w:jc w:val="left"/>
      </w:pPr>
      <w:r>
        <w:rPr>
          <w:rFonts w:ascii="Times New Roman" w:cs="Traditional Arabic" w:hAnsi="Times New Roman"/>
          <w:b w:val="false"/>
          <w:bCs w:val="false"/>
          <w:i w:val="false"/>
          <w:iCs w:val="false"/>
          <w:color w:val="000000"/>
          <w:sz w:val="24"/>
          <w:szCs w:val="24"/>
        </w:rPr>
        <w:t xml:space="preserve">Ramezani, S., et al. (2023). The effect of different types of exercise on indicators related to blood sugar control. Feyz Medical Sciences Journal, Kashan University of Medical Sciences. Available at: feyz.kaums.ac.ir.</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1"/>
        <w:szCs w:val="21"/>
      </w:rPr>
      <w:t xml:space="preserve">- </w:t>
    </w:r>
    <w:r>
      <w:rPr>
        <w:rFonts w:ascii="Times New Roman" w:hAnsi="Times New Roman"/>
        <w:sz w:val="21"/>
        <w:szCs w:val="21"/>
      </w:rPr>
      <w:fldChar w:fldCharType="begin"/>
      <w:instrText xml:space="preserve"> PAGE \* ROMAN \* MERGEFORMAT </w:instrText>
      <w:fldChar w:fldCharType="separate"/>
      <w:fldChar w:fldCharType="end"/>
    </w:r>
    <w:r>
      <w:rPr>
        <w:rFonts w:ascii="Times New Roman" w:hAns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00" w:lineRule="atLeast"/>
      <w:jc w:val="center"/>
    </w:pPr>
    <w:r>
      <w:rPr>
        <w:rFonts w:ascii="Times New Roman" w:hAnsi="Times New Roman"/>
        <w:sz w:val="22"/>
        <w:szCs w:val="22"/>
      </w:rPr>
      <w:t xml:space="preserve">- </w:t>
    </w:r>
    <w:r>
      <w:rPr>
        <w:rFonts w:ascii="Times New Roman" w:hAnsi="Times New Roman"/>
        <w:sz w:val="22"/>
        <w:szCs w:val="22"/>
      </w:rPr>
      <w:fldChar w:fldCharType="begin"/>
      <w:instrText xml:space="preserve"> PAGE \* arabic \* MERGEFORMAT </w:instrText>
      <w:fldChar w:fldCharType="separate"/>
      <w:fldChar w:fldCharType="end"/>
    </w:r>
    <w:r>
      <w:rPr>
        <w:rFonts w:ascii="Times New Roman" w:hAnsi="Times New Roman"/>
        <w:sz w:val="22"/>
        <w:szCs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 – مقترح بحث</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bidi/>
      <w:spacing w:line="300" w:lineRule="atLeast"/>
      <w:jc w:val="center"/>
    </w:pPr>
    <w:r>
      <w:rPr>
        <w:rFonts w:ascii="Times New Roman" w:cs="Traditional Arabic" w:hAnsi="Times New Roman"/>
        <w:b w:val="false"/>
        <w:bCs w:val="false"/>
        <w:i w:val="false"/>
        <w:iCs w:val="false"/>
        <w:color w:val="333333"/>
        <w:sz w:val="18"/>
        <w:szCs w:val="18"/>
        <w:rtl/>
      </w:rPr>
      <w:t xml:space="preserve">تأثير الجهد البدني والعضلي على مرضى السكري – مقترح بحث</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raditional Arabic" w:hAnsi="Times New Roman"/>
        <w:color w:val="000000"/>
        <w:sz w:val="32"/>
        <w:szCs w:val="3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80" w:line="460"/>
      <w:outlineLvl w:val="0"/>
    </w:pPr>
    <w:rPr>
      <w:rFonts w:ascii="Times New Roman" w:cs="Simplified Arabic" w:hAnsi="Times New Roman"/>
      <w:b/>
      <w:bCs/>
      <w:color w:val="000000"/>
      <w:sz w:val="36"/>
      <w:szCs w:val="36"/>
    </w:rPr>
  </w:style>
  <w:style w:type="paragraph" w:styleId="Heading2">
    <w:name w:val="Heading 2"/>
    <w:basedOn w:val="Normal"/>
    <w:next w:val="Normal"/>
    <w:qFormat/>
    <w:pPr>
      <w:spacing w:after="200" w:before="360" w:line="420"/>
      <w:outlineLvl w:val="1"/>
    </w:pPr>
    <w:rPr>
      <w:rFonts w:ascii="Times New Roman" w:cs="Simplified Arabic" w:hAnsi="Times New Roman"/>
      <w:b/>
      <w:bCs/>
      <w:color w:val="000000"/>
      <w:sz w:val="32"/>
      <w:szCs w:val="32"/>
    </w:rPr>
  </w:style>
  <w:style w:type="paragraph" w:styleId="Heading3">
    <w:name w:val="Heading 3"/>
    <w:basedOn w:val="Normal"/>
    <w:next w:val="Normal"/>
    <w:qFormat/>
    <w:pPr>
      <w:spacing w:after="160" w:before="240" w:line="400"/>
      <w:outlineLvl w:val="2"/>
    </w:pPr>
    <w:rPr>
      <w:rFonts w:ascii="Times New Roman" w:cs="Simplified Arabic" w:hAnsi="Times New Roman"/>
      <w:b/>
      <w:bCs/>
      <w:color w:val="000000"/>
      <w:sz w:val="30"/>
      <w:szCs w:val="30"/>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bidi/>
      <w:tabs>
        <w:tab w:val="right" w:leader="dot" w:pos="9026"/>
      </w:tabs>
      <w:spacing w:before="120" w:after="60"/>
    </w:pPr>
    <w:rPr>
      <w:b/>
      <w:bCs/>
    </w:rPr>
  </w:style>
  <w:style xmlns:w="http://schemas.openxmlformats.org/wordprocessingml/2006/main" w:type="paragraph" w:styleId="11">
    <w:name w:val="toc 2"/>
    <w:basedOn w:val="Normal"/>
    <w:uiPriority w:val="39"/>
    <w:pPr>
      <w:bidi/>
      <w:tabs>
        <w:tab w:val="right" w:leader="dot" w:pos="9026"/>
      </w:tabs>
      <w:ind w:left="360"/>
      <w:spacing w:before="60" w:after="40"/>
    </w:pPr>
  </w:style>
  <w:style xmlns:w="http://schemas.openxmlformats.org/wordprocessingml/2006/main" w:type="paragraph" w:styleId="12">
    <w:name w:val="toc 3"/>
    <w:basedOn w:val="Normal"/>
    <w:uiPriority w:val="39"/>
    <w:pPr>
      <w:bidi/>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تأثير الجهد البدني والعضلي على مرضى السكري – النموذج الرابع مقترح بحث</dc:title>
  <dc:creator>قسم التربية الرياضية</dc:creator>
  <cp:lastModifiedBy>Un-named</cp:lastModifiedBy>
  <cp:revision>1</cp:revision>
  <dcterms:created xsi:type="dcterms:W3CDTF">2026-09-30T16:12:57.823Z</dcterms:created>
  <dcterms:modified xsi:type="dcterms:W3CDTF">2026-09-30T16:12:57.823Z</dcterms:modified>
</cp:coreProperties>
</file>

<file path=docProps/custom.xml><?xml version="1.0" encoding="utf-8"?>
<Properties xmlns="http://schemas.openxmlformats.org/officeDocument/2006/custom-properties" xmlns:vt="http://schemas.openxmlformats.org/officeDocument/2006/docPropsVTypes"/>
</file>