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700" w:line="520" w:lineRule="atLeast"/>
        <w:jc w:val="center"/>
      </w:pPr>
      <w:r>
        <w:rPr>
          <w:rFonts w:ascii="Times New Roman" w:cs="Simplified Arabic" w:hAnsi="Times New Roman"/>
          <w:b/>
          <w:bCs/>
          <w:i w:val="false"/>
          <w:iCs w:val="false"/>
          <w:color w:val="000000"/>
          <w:sz w:val="44"/>
          <w:szCs w:val="44"/>
          <w:rtl/>
        </w:rPr>
        <w:t xml:space="preserve">كلية التربية الرياضية</w:t>
      </w:r>
    </w:p>
    <w:p>
      <w:pPr>
        <w:bidi/>
        <w:spacing w:after="500" w:line="360" w:lineRule="atLeast"/>
        <w:jc w:val="center"/>
      </w:pPr>
      <w:r>
        <w:rPr>
          <w:rFonts w:ascii="Times New Roman" w:cs="Traditional Arabic" w:hAnsi="Times New Roman"/>
          <w:b w:val="false"/>
          <w:bCs w:val="false"/>
          <w:i w:val="false"/>
          <w:iCs w:val="false"/>
          <w:color w:val="000000"/>
          <w:sz w:val="28"/>
          <w:szCs w:val="28"/>
          <w:rtl/>
        </w:rPr>
        <w:t xml:space="preserve">قسم علوم الرياضة والصحة</w:t>
      </w:r>
    </w:p>
    <w:p>
      <w:pPr>
        <w:bidi/>
        <w:spacing w:after="700" w:line="420" w:lineRule="atLeast"/>
        <w:jc w:val="center"/>
      </w:pPr>
      <w:r>
        <w:rPr>
          <w:rFonts w:ascii="Times New Roman" w:cs="Simplified Arabic" w:hAnsi="Times New Roman"/>
          <w:b/>
          <w:bCs/>
          <w:i w:val="false"/>
          <w:iCs w:val="false"/>
          <w:color w:val="000000"/>
          <w:sz w:val="34"/>
          <w:szCs w:val="34"/>
          <w:rtl/>
        </w:rPr>
        <w:t xml:space="preserve">أطروحة تخرج لنيل درجة البكالوريوس – الصيغة العلمية IMRAD</w:t>
      </w:r>
    </w:p>
    <w:p>
      <w:pPr>
        <w:bidi/>
        <w:spacing w:after="160" w:line="340" w:lineRule="atLeast"/>
        <w:jc w:val="center"/>
      </w:pPr>
      <w:r>
        <w:rPr>
          <w:rFonts w:ascii="Times New Roman" w:cs="Traditional Arabic" w:hAnsi="Times New Roman"/>
          <w:b w:val="false"/>
          <w:bCs w:val="false"/>
          <w:i w:val="false"/>
          <w:iCs w:val="false"/>
          <w:color w:val="333333"/>
          <w:sz w:val="26"/>
          <w:szCs w:val="26"/>
          <w:rtl/>
        </w:rPr>
        <w:t xml:space="preserve">عنوان البحث</w:t>
      </w:r>
    </w:p>
    <w:p>
      <w:pPr>
        <w:bidi/>
        <w:spacing w:after="100" w:line="500" w:lineRule="atLeast"/>
        <w:jc w:val="center"/>
      </w:pPr>
      <w:r>
        <w:rPr>
          <w:rFonts w:ascii="Times New Roman" w:cs="Simplified Arabic" w:hAnsi="Times New Roman"/>
          <w:b/>
          <w:bCs/>
          <w:i w:val="false"/>
          <w:iCs w:val="false"/>
          <w:color w:val="000000"/>
          <w:sz w:val="40"/>
          <w:szCs w:val="40"/>
          <w:rtl/>
        </w:rPr>
        <w:t xml:space="preserve">تأثير الجهد البدني والعضلي</w:t>
      </w:r>
    </w:p>
    <w:p>
      <w:pPr>
        <w:bidi/>
        <w:spacing w:after="200" w:line="500" w:lineRule="atLeast"/>
        <w:jc w:val="center"/>
      </w:pPr>
      <w:r>
        <w:rPr>
          <w:rFonts w:ascii="Times New Roman" w:cs="Simplified Arabic" w:hAnsi="Times New Roman"/>
          <w:b/>
          <w:bCs/>
          <w:i w:val="false"/>
          <w:iCs w:val="false"/>
          <w:color w:val="000000"/>
          <w:sz w:val="40"/>
          <w:szCs w:val="40"/>
          <w:rtl/>
        </w:rPr>
        <w:t xml:space="preserve">على مرضى السكري</w:t>
      </w:r>
    </w:p>
    <w:p>
      <w:pPr>
        <w:spacing w:after="700" w:line="320" w:lineRule="atLeast"/>
        <w:jc w:val="center"/>
      </w:pPr>
      <w:r>
        <w:rPr>
          <w:rFonts w:ascii="Times New Roman" w:cs="Traditional Arabic" w:hAnsi="Times New Roman"/>
          <w:b w:val="false"/>
          <w:bCs w:val="false"/>
          <w:i/>
          <w:iCs/>
          <w:color w:val="000000"/>
          <w:sz w:val="24"/>
          <w:szCs w:val="24"/>
        </w:rPr>
        <w:t xml:space="preserve">The Effect of Physical and Muscular Exertion on Patients with Diabetes Mellitus</w:t>
      </w:r>
    </w:p>
    <w:tbl>
      <w:tblPr>
        <w:bidiVisual/>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إعداد الطالبة:</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ريهام سعيد</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تحت إشراف:</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د. خالد محمد ياسين</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العام الجامعي:</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2025 / 2026</w:t>
            </w:r>
          </w:p>
        </w:tc>
      </w:tr>
    </w:tbl>
    <w:p>
      <w:pPr>
        <w:bidi/>
        <w:spacing w:before="800" w:line="360" w:lineRule="atLeast"/>
        <w:jc w:val="center"/>
      </w:pPr>
      <w:r>
        <w:rPr>
          <w:rFonts w:ascii="Times New Roman" w:cs="Traditional Arabic" w:hAnsi="Times New Roman"/>
          <w:b w:val="false"/>
          <w:bCs w:val="false"/>
          <w:i w:val="false"/>
          <w:iCs w:val="false"/>
          <w:color w:val="000000"/>
          <w:sz w:val="28"/>
          <w:szCs w:val="28"/>
          <w:rtl/>
        </w:rPr>
        <w:t xml:space="preserve">يونيو 2026</w:t>
      </w:r>
    </w:p>
    <w:p>
      <w:pPr>
        <w:sectPr>
          <w:pgSz w:w="11906" w:h="16838" w:orient="portrait"/>
          <w:pgMar w:top="1440" w:right="1417" w:bottom="1440" w:left="1701" w:header="850" w:footer="992" w:gutter="0"/>
          <w:docGrid w:linePitch="360"/>
        </w:sectPr>
      </w:pPr>
    </w:p>
    <w:p>
      <w:pPr>
        <w:bidi/>
        <w:spacing w:after="300" w:before="200" w:line="460" w:lineRule="atLeast"/>
        <w:jc w:val="center"/>
      </w:pPr>
      <w:r>
        <w:rPr>
          <w:rFonts w:ascii="Times New Roman" w:cs="Traditional Arabic" w:hAnsi="Times New Roman"/>
          <w:b/>
          <w:bCs/>
          <w:i w:val="false"/>
          <w:iCs w:val="false"/>
          <w:color w:val="000000"/>
          <w:sz w:val="36"/>
          <w:szCs w:val="36"/>
          <w:rtl/>
        </w:rPr>
        <w:t xml:space="preserve">شكر وتقدير</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الحمد لله الذي بنعمته تتم الصالحات، والشكر موصول لأستاذي الفاضل الدكتور خالد محمد ياسين الذي تولى الإشراف على هذه الأطروحة بعناية علمية رفيعة، فأرشدني إلى مصادر المعلومة الصحيحة، وصحح لي مسار التجربة الميدانية في مراحلها القياسية والتحليلية، ولم يتوانَ لحظة في متابعة تفاصيل التطبيق الأسبوعية حتى خرج هذا العمل إلى النور على الوجه المطلوب.</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وتوجه الطالبة بالامتنان إلى الطاقم الطبي والمعملي في العيادة المرجعية لتعاونهم الكامل في سحب العينات وإجراء التحاليل، وإلى أخصائيي قاعة التدريب الذين شاركوا في الإشراف الآمن على الحصص، وإلى المرضى المشاركين الذين حملوا على عاتقهم التزام الاثني عشر أسبوعًا كاملة. والشكر موصول كذلك للأسرة الدامغة التي احتملت ظروف الدراسة وساندتني فيها، ولكل من قدّم لي نصيحة أو مساندة خلال مسيرة الإعداد.</w:t>
      </w:r>
    </w:p>
    <w:p>
      <w:pPr>
        <w:bidi/>
        <w:spacing w:after="120" w:line="360" w:lineRule="atLeast"/>
        <w:jc w:val="both"/>
      </w:pPr>
      <w:r>
        <w:rPr>
          <w:rFonts w:ascii="Times New Roman" w:cs="Traditional Arabic" w:hAnsi="Times New Roman"/>
          <w:b/>
          <w:bCs/>
          <w:i w:val="false"/>
          <w:iCs w:val="false"/>
          <w:color w:val="000000"/>
          <w:sz w:val="32"/>
          <w:szCs w:val="32"/>
          <w:rtl/>
        </w:rPr>
        <w:t xml:space="preserve">ريهام سعيد</w:t>
      </w:r>
      <w:r>
        <w:rPr>
          <w:rFonts w:ascii="Times New Roman" w:cs="Traditional Arabic" w:hAnsi="Times New Roman"/>
          <w:b w:val="false"/>
          <w:bCs w:val="false"/>
          <w:i w:val="false"/>
          <w:iCs w:val="false"/>
          <w:color w:val="000000"/>
          <w:sz w:val="28"/>
          <w:szCs w:val="28"/>
          <w:rtl/>
        </w:rPr>
        <w:t xml:space="preserve">  —  يونيو 2026</w:t>
      </w:r>
      <w:r>
        <w:br w:type="page"/>
      </w:r>
    </w:p>
    <w:p>
      <w:pPr>
        <w:bidi/>
        <w:spacing w:after="300" w:before="200" w:line="460" w:lineRule="atLeast"/>
        <w:jc w:val="center"/>
      </w:pPr>
      <w:r>
        <w:rPr>
          <w:rFonts w:ascii="Times New Roman" w:cs="Traditional Arabic" w:hAnsi="Times New Roman"/>
          <w:b/>
          <w:bCs/>
          <w:i w:val="false"/>
          <w:iCs w:val="false"/>
          <w:color w:val="000000"/>
          <w:sz w:val="36"/>
          <w:szCs w:val="36"/>
          <w:rtl/>
        </w:rPr>
        <w:t xml:space="preserve">المستخلص</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هدفت الدراسة إلى الكشف عن أثر برنامج تدريبي مدمج يجمع الجهد البدني الهوائي مع الجهد العضلي المقاوم في الحصة الواحدة على السكر التراكمي والسكر الصائم ومقاومة الإنسولين والقوة العضلية ومحيط الخصر ومؤشر كتلة الجسم لدى مرضى السكري من النمط الثاني. واعتمدت الدراسة المنهج شبه التجريبي على عينة قصدية من 30 مريضًا (12 ذكرًا و18 أنثى) تتراوح أعمارهم بين 45 و60 عامًا، وزعوا عشوائيًا على مجموعة تجريبية ومجموعة ضابطة بواقع 15 مريضًا لكل مجموعة، وطُبق على التجريبية برنامج مدته اثنا عشر أسبوعًا بمعدل ثلاث حصص مدمجة أسبوعيًا، تجمع كل حصة نحو 25 دقيقة جهد هوائي بنسبة 40 إلى 60 في المائة من الاحتياطي القلبي مع نحو 25 دقيقة مقاومة عضلية بنسبة مماثلة من الحد الأقصى.</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أسفرت الدراسة عن انخفاض دال إحصائيًا في السكر التراكمي لدى المجموعة التجريبية من 8.15 إلى 7.41 في المائة، وتراجع السكر الصائم 33.8 ملغ/دل، وانخفاض مقاومة الإنسولين بنسبة 29.7 في المائة، إضافة إلى تحسن القوة اليدوية بمعدل 16.7 في المائة وتقلص محيط الخصر 5.2 سم وتراجع مؤشر كتلة الجسم 1.8 وحدة، في حين لم تسجل المجموعة الضابطة أي تغير دال خلال الفترة نفسها، وتفوقت التجريبية على الضابطة في القياس البعدي بفروق دالة في جميع المتغيرات. وخلصت الدراسة إلى أن الحصة المدمجة التي توظف النمطين في الوحدة التدريبية الواحدة خيار عملي عالي الجدوى لتحسين مؤشرات الضبط الجلايسيمي والتكوين الجسمي لدى مرضى النمط الثاني، وأوصت بإدماجها في برامج الرعاية الصحية الأولية بإشراف طبي مشترك.</w:t>
      </w:r>
    </w:p>
    <w:p>
      <w:pPr>
        <w:bidi/>
        <w:spacing w:after="120" w:line="360" w:lineRule="atLeast"/>
        <w:jc w:val="both"/>
      </w:pPr>
      <w:r>
        <w:rPr>
          <w:rFonts w:ascii="Times New Roman" w:cs="Traditional Arabic" w:hAnsi="Times New Roman"/>
          <w:b/>
          <w:bCs/>
          <w:i w:val="false"/>
          <w:iCs w:val="false"/>
          <w:color w:val="000000"/>
          <w:sz w:val="32"/>
          <w:szCs w:val="32"/>
          <w:rtl/>
        </w:rPr>
        <w:t xml:space="preserve">الكلمات المفتاحية: </w:t>
      </w:r>
      <w:r>
        <w:rPr>
          <w:rFonts w:ascii="Times New Roman" w:cs="Traditional Arabic" w:hAnsi="Times New Roman"/>
          <w:b w:val="false"/>
          <w:bCs w:val="false"/>
          <w:i w:val="false"/>
          <w:iCs w:val="false"/>
          <w:color w:val="000000"/>
          <w:sz w:val="32"/>
          <w:szCs w:val="32"/>
          <w:rtl/>
        </w:rPr>
        <w:t xml:space="preserve">الجهد البدني الهوائي؛ الجهد العضلي المقاوم؛ الحصة التدريبية المدمجة؛ السكري النمط الثاني؛ السكر التراكمي؛ مقاومة الإنسولين.</w:t>
      </w:r>
      <w:r>
        <w:br w:type="page"/>
      </w:r>
    </w:p>
    <w:p>
      <w:pPr>
        <w:spacing w:after="300" w:before="200" w:line="460" w:lineRule="atLeast"/>
        <w:jc w:val="center"/>
      </w:pPr>
      <w:r>
        <w:rPr>
          <w:rFonts w:ascii="Times New Roman" w:cs="Traditional Arabic" w:hAnsi="Times New Roman"/>
          <w:b/>
          <w:bCs/>
          <w:i w:val="false"/>
          <w:iCs w:val="false"/>
          <w:color w:val="000000"/>
          <w:sz w:val="36"/>
          <w:szCs w:val="36"/>
        </w:rPr>
        <w:t xml:space="preserve">Abstract</w:t>
      </w:r>
    </w:p>
    <w:p>
      <w:pPr>
        <w:spacing w:after="120" w:before="0" w:line="312"/>
        <w:jc w:val="left"/>
      </w:pPr>
      <w:r>
        <w:rPr>
          <w:rFonts w:ascii="Times New Roman" w:cs="Traditional Arabic" w:hAnsi="Times New Roman"/>
          <w:b w:val="false"/>
          <w:bCs w:val="false"/>
          <w:i w:val="false"/>
          <w:iCs w:val="false"/>
          <w:color w:val="000000"/>
          <w:sz w:val="24"/>
          <w:szCs w:val="24"/>
        </w:rPr>
        <w:t xml:space="preserve">This study investigated the effect of a combined training program, integrating aerobic physical exertion with muscular resistance exercise within the same session, on HbA1c, fasting glucose, insulin resistance, muscular strength, waist circumference, and body mass index among patients with type 2 diabetes mellitus. A quasi-experimental design was applied to a purposive sample of 30 patients (12 males, 18 females) aged 45-60 years, randomly assigned to an experimental and a control group (n = 15 each). The experimental group performed a 12-week program of three combined sessions per week, each pairing approximately 25 minutes of aerobic effort at 40-60% of cardiac reserve with about 25 minutes of resistance work at a comparable relative intensity.</w:t>
      </w:r>
    </w:p>
    <w:p>
      <w:pPr>
        <w:spacing w:after="120" w:before="0" w:line="312"/>
        <w:jc w:val="3"/>
      </w:pPr>
      <w:r>
        <w:rPr>
          <w:rFonts w:ascii="Times New Roman" w:cs="Traditional Arabic" w:hAnsi="Times New Roman"/>
          <w:b w:val="false"/>
          <w:bCs w:val="false"/>
          <w:i w:val="false"/>
          <w:iCs w:val="false"/>
          <w:color w:val="000000"/>
          <w:sz w:val="24"/>
          <w:szCs w:val="24"/>
        </w:rPr>
        <w:t xml:space="preserve">Results showed a statistically significant reduction in HbA1c from 8.15% to 7.41%, a 33.8 mg/dL drop in fasting glucose, a 29.7% decline in insulin resistance, a 16.7% gain in handgrip strength, a 5.2 cm reduction in waist circumference, and a 1.8-unit decrease in body mass index within the experimental group, while the control group exhibited no significant change over the same period, and the experimental group outperformed the control group on all posttest variables. The study concluded that the within-session combined training modality is a highly feasible practical option for improving glycemic control and body composition in type 2 diabetes patients, and recommended its integration into primary healthcare programs under joint medical supervision.</w:t>
      </w:r>
    </w:p>
    <w:p>
      <w:pPr>
        <w:spacing w:after="120" w:line="312"/>
        <w:jc w:val="3"/>
      </w:pPr>
      <w:r>
        <w:rPr>
          <w:rFonts w:ascii="Times New Roman" w:cs="Traditional Arabic" w:hAnsi="Times New Roman"/>
          <w:b/>
          <w:bCs/>
          <w:i w:val="false"/>
          <w:iCs w:val="false"/>
          <w:color w:val="000000"/>
          <w:sz w:val="24"/>
          <w:szCs w:val="24"/>
        </w:rPr>
        <w:t xml:space="preserve">Keywords: </w:t>
      </w:r>
      <w:r>
        <w:rPr>
          <w:rFonts w:ascii="Times New Roman" w:cs="Traditional Arabic" w:hAnsi="Times New Roman"/>
          <w:b w:val="false"/>
          <w:bCs w:val="false"/>
          <w:i w:val="false"/>
          <w:iCs w:val="false"/>
          <w:color w:val="000000"/>
          <w:sz w:val="24"/>
          <w:szCs w:val="24"/>
        </w:rPr>
        <w:t xml:space="preserve">Aerobic Physical Exertion; Muscular Resistance Exercise; Combined Session; Type 2 Diabetes Mellitus; HbA1c; Insulin Resistance.</w:t>
      </w:r>
      <w:r>
        <w:br w:type="page"/>
      </w:r>
    </w:p>
    <w:p>
      <w:pPr>
        <w:bidi/>
        <w:spacing w:after="360" w:before="480" w:line="460" w:lineRule="atLeast"/>
        <w:jc w:val="center"/>
      </w:pPr>
      <w:r>
        <w:rPr>
          <w:rFonts w:ascii="Times New Roman" w:cs="Simplified Arabic" w:hAnsi="Times New Roman"/>
          <w:b/>
          <w:bCs/>
          <w:i w:val="false"/>
          <w:iCs w:val="false"/>
          <w:color w:val="000000"/>
          <w:sz w:val="36"/>
          <w:szCs w:val="36"/>
          <w:rtl/>
        </w:rPr>
        <w:t xml:space="preserve">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المقدمة</w:t>
            </w:r>
            <w:r>
              <w:tab/>
            </w:r>
            <w:r>
              <w:fldChar w:fldCharType="begin"/>
            </w:r>
            <w:r>
              <w:instrText xml:space="preserve"> PAGEREF _Toc100000 \h </w:instrText>
            </w:r>
            <w:r>
              <w:fldChar w:fldCharType="separate"/>
            </w:r>
            <w:r>
              <w:t>4</w:t>
            </w:r>
            <w:r>
              <w:fldChar w:fldCharType="end"/>
            </w:r>
          </w:hyperlink>
        </w:p>
        <w:p>
          <w:pPr>
            <w:pStyle w:val="9"/>
            <w:tabs>
              <w:tab w:val="right" w:leader="dot" w:pos="9026"/>
            </w:tabs>
            <w:spacing w:before="120" w:after="60"/>
          </w:pPr>
          <w:hyperlink w:anchor="_Toc100001" w:history="1">
            <w:r>
              <w:rPr>
                <w:rStyle w:val="Hyperlink"/>
              </w:rPr>
              <w:t>2. الطرائق والمناهج</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2.1 تصميم الدراسة</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2.2 المشاركون</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2.3 البرنامج التدريبي المدمج</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2.4 المقاييس والأدوات</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2.5 التحليل الإحصائي</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3. النتائج</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4. المناقشة</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5. الخاتمة</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المراجع</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أولًا: المراجع العربية</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ثانيًا: المراجع الأجنبية</w:t>
            </w:r>
            <w:r>
              <w:tab/>
            </w:r>
            <w:r>
              <w:fldChar w:fldCharType="begin"/>
            </w:r>
            <w:r>
              <w:instrText xml:space="preserve"> PAGEREF _Toc100012 \h </w:instrText>
            </w:r>
            <w:r>
              <w:fldChar w:fldCharType="separate"/>
            </w:r>
            <w:r>
              <w:t>7</w:t>
            </w:r>
            <w:r>
              <w:fldChar w:fldCharType="end"/>
            </w:r>
          </w:hyperlink>
        </w:p>
        <w:p>
          <w:r>
            <w:fldChar w:fldCharType="end"/>
          </w:r>
        </w:p>
      </w:sdtContent>
    </w:sdt>
    <w:p>
      <w:pPr>
        <w:bidi/>
        <w:spacing w:before="200" w:line="300" w:lineRule="atLeast"/>
      </w:pPr>
      <w:r>
        <w:rPr>
          <w:rFonts w:ascii="Times New Roman" w:cs="Traditional Arabic" w:hAnsi="Times New Roman"/>
          <w:b w:val="false"/>
          <w:bCs w:val="false"/>
          <w:i/>
          <w:iCs/>
          <w:color w:val="888888"/>
          <w:sz w:val="18"/>
          <w:szCs w:val="18"/>
          <w:rtl/>
        </w:rPr>
        <w:t xml:space="preserve">ملاحظة: هذا الجدول مولد آليًا برموز الحقول، وبعد أي تعديل انقر بزر الفأرة الأيمن على الجدول واختر تحديث الحقل لضبط أرقام الصفحات.</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bidi/>
        <w:spacing w:after="300" w:before="0" w:line="460" w:lineRule="atLeast"/>
        <w:jc w:val="center"/>
      </w:pPr>
      <w:bookmarkStart w:id="100000" w:name="_Toc100000"/>
      <w:r>
        <w:rPr>
          <w:rFonts w:ascii="Times New Roman" w:cs="Simplified Arabic" w:hAnsi="Times New Roman"/>
          <w:b/>
          <w:bCs/>
          <w:i w:val="false"/>
          <w:iCs w:val="false"/>
          <w:color w:val="000000"/>
          <w:sz w:val="36"/>
          <w:szCs w:val="36"/>
          <w:rtl/>
        </w:rPr>
        <w:t xml:space="preserve">1. المقدمة</w:t>
      </w:r>
      <w:bookmarkEnd w:id="100000"/>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يشغل سكري النمط الثاني موقع الصدارة بين الأمراض المزمنة غير السارية من حيث معدلات الارتفاع السنوي وحجم الأعباء الصحية والاقتصادية، إذ يمثل النمط الغالب من إجمالي حالات السكري في العالم، ويمتد أثر مضاعفاته من القلب والشرايين إلى الكلى والشبكية والأعصاب الطرفية. وقد رسخت المراجعات العالمية مكانة النشاط البدني بوصفه الركيزة الأولى في الوقاية من المرض والتعامل معه، منذ أن وثقت دراسة البرنامج الوقائي الأمريكية خفض تدخلات الحياة معدل الإصابة بنسبة 58 في المائة (Diabetes Prevention Program Research Group, 2002)، وما تلا ذلك من توجيهات صريحة من الجمعية الأمريكية للسكري بدمج التمارين في خطة العلاج الروتينية (Kanaley et al., 2016).</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وتنص الأدبيات الحديثة على أن التدخل الأكثر فائدة ليس نمطًا واحدًا من التمرين، بل الجمع المنظم بين الجهد الهوائي الذي يستهلك الجلوكوز عبر مسار مستقل عن الإنسولين، والجهد العضلي المقاوم الذي يوسع الكتلة العضلية المستهلكة للسكر ويحسن إشارات الإنسولين داخل الخلية برفع محتوى ناقل GLUT4 (Holten et al., 2004). وقد رصدت المراجعة الشاملة المنشورة في دورية الجمعية الطبية الأمريكية أن أعلى انخفاض للسكر التراكمي يتحقق حين تُدمج الحصة الواحدة النمطين معًا مقارنة بتوزيعهما على حصص منفصلة (Umpierre et al., 2011). وبناءً على هذا التوجيه، انتقلت الدراسة من المستوى التوصيفي إلى الاختبار الميداني لبرنامج مدمج متكامل على عينة عربية محلية، مع منظومة قياس حيوية وجسمية شاملة تسمح بتقويم الأثر تقويمًا متعدد الأبعاد.</w:t>
      </w:r>
    </w:p>
    <w:p>
      <w:pPr>
        <w:pStyle w:val="Heading1"/>
        <w:bidi/>
        <w:spacing w:after="300" w:before="480" w:line="460" w:lineRule="atLeast"/>
        <w:jc w:val="center"/>
      </w:pPr>
      <w:bookmarkStart w:id="100001" w:name="_Toc100001"/>
      <w:r>
        <w:rPr>
          <w:rFonts w:ascii="Times New Roman" w:cs="Simplified Arabic" w:hAnsi="Times New Roman"/>
          <w:b/>
          <w:bCs/>
          <w:i w:val="false"/>
          <w:iCs w:val="false"/>
          <w:color w:val="000000"/>
          <w:sz w:val="36"/>
          <w:szCs w:val="36"/>
          <w:rtl/>
        </w:rPr>
        <w:t xml:space="preserve">2. الطرائق والمناهج</w:t>
      </w:r>
      <w:bookmarkEnd w:id="100001"/>
    </w:p>
    <w:p>
      <w:pPr>
        <w:pStyle w:val="Heading2"/>
        <w:bidi/>
        <w:spacing w:after="200" w:before="360" w:line="420" w:lineRule="atLeast"/>
        <w:jc w:val="start"/>
      </w:pPr>
      <w:bookmarkStart w:id="100002" w:name="_Toc100002"/>
      <w:r>
        <w:rPr>
          <w:rFonts w:ascii="Times New Roman" w:cs="Simplified Arabic" w:hAnsi="Times New Roman"/>
          <w:b/>
          <w:bCs/>
          <w:i w:val="false"/>
          <w:iCs w:val="false"/>
          <w:color w:val="000000"/>
          <w:sz w:val="32"/>
          <w:szCs w:val="32"/>
          <w:rtl/>
        </w:rPr>
        <w:t xml:space="preserve">2.1 تصميم الدراسة</w:t>
      </w:r>
      <w:bookmarkEnd w:id="10000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اعتمدت الدراسة تصميمًا شبه تجريبي بمجموعتين وقياسين قبلي وبعدي، إذ تلقت المجموعة التجريبية البرنامج التدريبي المدمج بينما حافظت الضابطة على نمط حياتها المعتاد دون تدخل. وقد التزم التصميم ثلاثة ضوابط منهجية: التوازن القبلي بين المجموعتين في جميع المتغيرات التابعة، وتثبيت جرعات الأدوية لدى المشاركين كافة بموجب تقرير طبي موثق طوال التجربة وفق ما اشترطته البيانات العلمية لعزل أثر التدخل (Colberg et al., 2010)، وإبقاء المقيّس والمخبرين غير العارضين بتوزيع الأفراد على المجموعتين للحد من تحيز القياس.</w:t>
      </w:r>
    </w:p>
    <w:p>
      <w:pPr>
        <w:pStyle w:val="Heading2"/>
        <w:bidi/>
        <w:spacing w:after="200" w:before="360" w:line="420" w:lineRule="atLeast"/>
        <w:jc w:val="start"/>
      </w:pPr>
      <w:bookmarkStart w:id="100003" w:name="_Toc100003"/>
      <w:r>
        <w:rPr>
          <w:rFonts w:ascii="Times New Roman" w:cs="Simplified Arabic" w:hAnsi="Times New Roman"/>
          <w:b/>
          <w:bCs/>
          <w:i w:val="false"/>
          <w:iCs w:val="false"/>
          <w:color w:val="000000"/>
          <w:sz w:val="32"/>
          <w:szCs w:val="32"/>
          <w:rtl/>
        </w:rPr>
        <w:t xml:space="preserve">2.2 المشاركون</w:t>
      </w:r>
      <w:bookmarkEnd w:id="100003"/>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تكونت العينة من 30 مريضًا بالسكري النمط الثاني (12 ذكرًا و18 أنثى) تتراوح أعمارهم بين 45 و60 عامًا (متوسط 53.1 ± 5.4 سنة) ويتوسط مدة الإصابة لديهم 6.2 ± 2.5 سنة، اختيروا بقصدية من الملتحقين بالعيادة المرجعية وفق معايير صارمة: تشخيص طبي مثبت منذ عامين فأكثر، واستقرار الجرعات الدوائية أربعة أسابيع قبل بدء التجربة، وغياب المضاعفات المانعة للجهد المعتدل، وموافقة طبية وموافقة مستنيرة موقعة. وزُع المشاركون عشوائيًا على مجموعة تجريبية ومجموعة ضابطة بواقع 15 مريضًا لكل مجموعة، وجرى متابعة الحضور الأسبوعية في سجل موحد، ولم يُسجل أي انسحاب أو استبعاد خلال فترة التطبيق الممتدة من مارس إلى يونيو 2026.</w:t>
      </w:r>
    </w:p>
    <w:p>
      <w:pPr>
        <w:pStyle w:val="Heading2"/>
        <w:bidi/>
        <w:spacing w:after="200" w:before="360" w:line="420" w:lineRule="atLeast"/>
        <w:jc w:val="start"/>
      </w:pPr>
      <w:bookmarkStart w:id="100004" w:name="_Toc100004"/>
      <w:r>
        <w:rPr>
          <w:rFonts w:ascii="Times New Roman" w:cs="Simplified Arabic" w:hAnsi="Times New Roman"/>
          <w:b/>
          <w:bCs/>
          <w:i w:val="false"/>
          <w:iCs w:val="false"/>
          <w:color w:val="000000"/>
          <w:sz w:val="32"/>
          <w:szCs w:val="32"/>
          <w:rtl/>
        </w:rPr>
        <w:t xml:space="preserve">2.3 البرنامج التدريبي المدمج</w:t>
      </w:r>
      <w:bookmarkEnd w:id="10000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صُمم البرنامج على نمط الحصة المدمجة بحيث تجمع كل وحدة تدريبية النمطين الهوائي والمقاوم معًا، تماشيًا مع الدليل الدولي على أن هذا التركيب يحقق أعلى انخفاض في السكر التراكمي (Umpierre et al., 2011). وامتد البرنامج اثني عشر أسبوعًا بمعدل ثلاث حصص أسبوعية غير متتالية، تنفتح كل حصة بإحماء عام عشر دقائق، ثم جزء رئيس نحو خمس وخمسين دقيقة يوزع بالتساوي بين 25 دقيقة جهد هوائي (مشي متسارع ودراجة ثابتة) بنسبة 40 إلى 60 في المائة من الاحتياطي القلبي، و25 دقيقة تمارين مقاومة تغطي المجموعات العضلية الكبرى بنسبة 40 إلى 60 في المائة من الحد الأقصى بمجموعتين إلى ثلاث من 10 إلى 15 تكرارًا، ثم تعافٍ تدريجي عشر دقائق. وارتقى الحمل الأسبوعي ارتقاءً تدريجيًا موثقًا عبر سجل حصص رسمي، مع فحص سكر الدم قبل كل حصة وبعدها وإجراءات السلامة اللازمة لمنع هبوط الجلوكوز أثناء الأداء.</w:t>
      </w:r>
    </w:p>
    <w:p>
      <w:pPr>
        <w:pStyle w:val="Heading2"/>
        <w:bidi/>
        <w:spacing w:after="200" w:before="360" w:line="420" w:lineRule="atLeast"/>
        <w:jc w:val="start"/>
      </w:pPr>
      <w:bookmarkStart w:id="100005" w:name="_Toc100005"/>
      <w:r>
        <w:rPr>
          <w:rFonts w:ascii="Times New Roman" w:cs="Simplified Arabic" w:hAnsi="Times New Roman"/>
          <w:b/>
          <w:bCs/>
          <w:i w:val="false"/>
          <w:iCs w:val="false"/>
          <w:color w:val="000000"/>
          <w:sz w:val="32"/>
          <w:szCs w:val="32"/>
          <w:rtl/>
        </w:rPr>
        <w:t xml:space="preserve">2.4 المقاييس والأدوات</w:t>
      </w:r>
      <w:bookmarkEnd w:id="10000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رُصدت المتغيرات التابعة في القياسين القبلي والبعدي عبر منظومة موحدة نُفذت في مختبر معتمد واحد: تحليل عينة دم وريدية صائمة لتحديد السكر التراكمي والسكر الصائم والإنسولين الصائمي، وحساب مقاومة الإنسولين بمؤشر المقاومة HOMA-IR وفق المنهجية المتداولة في الدراسات المماثلة (الكيتاني؛ Niemann et al., 2020)؛ وقياس القوة العضلية للقبضة اليدوية بالدينامومتر بثلاث محاولات يُعتمد أفضلها؛ وتقدير محيط الخصر بشريط قياس منتصفًا بين الحافة السفلية للضلع وقمة عرف الحرقفة؛ وحساب مؤشر كتلة الجسم من الطول والوزن بميزان وأداة قياس معايرتين. كما استخدمت ساعة نبض لضبط شدة الجزء الهوائي لحظة بلحظة، وجرى التحقق من صدق الأدوات بعرضها على محكمين متخصصين وثبات المقاييس الحركية بمعامل ارتباط التجزئة النصفية.</w:t>
      </w:r>
    </w:p>
    <w:p>
      <w:pPr>
        <w:pStyle w:val="Heading2"/>
        <w:bidi/>
        <w:spacing w:after="200" w:before="360" w:line="420" w:lineRule="atLeast"/>
        <w:jc w:val="start"/>
      </w:pPr>
      <w:bookmarkStart w:id="100006" w:name="_Toc100006"/>
      <w:r>
        <w:rPr>
          <w:rFonts w:ascii="Times New Roman" w:cs="Simplified Arabic" w:hAnsi="Times New Roman"/>
          <w:b/>
          <w:bCs/>
          <w:i w:val="false"/>
          <w:iCs w:val="false"/>
          <w:color w:val="000000"/>
          <w:sz w:val="32"/>
          <w:szCs w:val="32"/>
          <w:rtl/>
        </w:rPr>
        <w:t xml:space="preserve">2.5 التحليل الإحصائي</w:t>
      </w:r>
      <w:bookmarkEnd w:id="100006"/>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عولجت البيانات بالحزمة الإحصائية للعلوم الاجتماعية SPSS، إذ حُسبت المتوسطات الحسابية والانحرافات المعيارية لوصف مستويات المتغيرات، واختُبرت الفروق داخل كل مجموعة بين القياسين باختبار (ت) للعينات المرتبطة، واختُبرت الفروق بين المجموعتين في القياس البعدي باختبار (ت) للعينات المستقلة، عند مستوى دلالة 0.05. كما احتُسب حجم الأثر للفروق الدالة بمعامل d كوهين لترجمة الدلالة الإحصائية إلى معنى عملي قابل للتقويم السريري، وعُرضت النتائج في جداول إحصائية مقتضبة تسبقها جملة تعريفية وتعقبها قراءة مباشرة وفق متطلبات صيغة IMRAD.</w:t>
      </w:r>
    </w:p>
    <w:p>
      <w:pPr>
        <w:pStyle w:val="Heading1"/>
        <w:bidi/>
        <w:spacing w:after="300" w:before="480" w:line="460" w:lineRule="atLeast"/>
        <w:jc w:val="center"/>
      </w:pPr>
      <w:bookmarkStart w:id="100007" w:name="_Toc100007"/>
      <w:r>
        <w:rPr>
          <w:rFonts w:ascii="Times New Roman" w:cs="Simplified Arabic" w:hAnsi="Times New Roman"/>
          <w:b/>
          <w:bCs/>
          <w:i w:val="false"/>
          <w:iCs w:val="false"/>
          <w:color w:val="000000"/>
          <w:sz w:val="36"/>
          <w:szCs w:val="36"/>
          <w:rtl/>
        </w:rPr>
        <w:t xml:space="preserve">3. النتائج</w:t>
      </w:r>
      <w:bookmarkEnd w:id="10000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تعرض الفقرات الآتية النتائج الفعلية التي أسفر عنها التطبيق الميداني والتحليل الإحصائي، موزعة على جدولين: يقدم الأول استجابة المجموعة التجريبية بين القياسين القبلي والبعدي في المتغيرات الستة، ويقدم الثاني مقارنة المجموعتين في القياس البعدي. وتقرأ كل مجموعة بيانات بقراءة تحليلية مباشرة تربط قيمة (ت) ومستوى الدلالة بحجم التغير النسبي ومضمونه الفسيولوجي.</w:t>
      </w:r>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(1): المتوسطات والانحرافات المعيارية وقيمة (ت) بين القياسين القبلي والبعدي للمجموعة التجريبية</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3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المتغير</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قبلي (م ± ع)</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بعدي (م ± ع)</w:t>
            </w:r>
          </w:p>
        </w:tc>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قيمة (ت)</w:t>
            </w:r>
          </w:p>
        </w:tc>
        <w:tc>
          <w:tcPr>
            <w:tcW w:type="pct" w:w="18%"/>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التراكمي (%)</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8.15 ± 0.68</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7.41 ± 0.59</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6.95</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الصائم (ملغ/دل)</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172.4 ± 19.8</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138.6 ± 17.2</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7.61</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مقاومة الإنسولين HOMA-IR</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4.48 ± 0.79</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3.15 ± 0.62</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7.83</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القوة اليدوية (كجم)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24.6 ± 4.2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28.7 ± 4.5</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5.42</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محيط الخصر (سم)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106.4 ± 7.2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101.2 ± 6.8</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4.91</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مؤشر كتلة الجسم (كجم/م2)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30.9 ± 2.4</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29.1 ± 2.1</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4.66</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bl>
    <w:p>
      <w:pPr>
        <w:bidi/>
        <w:spacing w:after="120" w:before="120" w:line="360" w:lineRule="atLeast"/>
        <w:ind w:firstLine="480"/>
        <w:jc w:val="both"/>
      </w:pPr>
      <w:r>
        <w:rPr>
          <w:rFonts w:ascii="Times New Roman" w:cs="Traditional Arabic" w:hAnsi="Times New Roman"/>
          <w:b w:val="false"/>
          <w:bCs w:val="false"/>
          <w:i w:val="false"/>
          <w:iCs w:val="false"/>
          <w:color w:val="000000"/>
          <w:sz w:val="32"/>
          <w:szCs w:val="32"/>
          <w:rtl/>
        </w:rPr>
        <w:t xml:space="preserve">يكشف الجدول استجابة شاملة للمجموعة التجريبية في المتغيرات الستة جميعها، إذ هبط السكر التراكمي 0.74 نقطة مئوية بما يعادل انخفاضًا نسبيًا 9.1 في المائة، وتراجع السكر الصائم 33.8 ملغ/دل بمعدل 19.6 في المائة، وانخفضت مقاومة الإنسولين 29.7 في المائة. وتواكبت الاستجابة الجسمية مع الاستجابة الأيضية، فتقلص محيط الخصر 5.2 سم وتراجع مؤشر كتلة الجسم 1.8 وحدة، بينما ارتفعت القوة اليدوية 4.1 كجم بمعدل تحسن 16.7 في المائة. وجاءت قيم (ت) المحسوبة أعلى من الجدولية في كل المتغيرات، مع أحجام أثر تقع في النطاق الكبير لمؤشرات الضبط ومتوسط إلى كبير للمؤشرات الجسمية والعضلية، مما يدل على أن الحصة المدمجة أحدثت تكيفًا متعدد المنظومات لا تحسنًا مفردًا عابرًا.</w:t>
      </w:r>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(2): قيمة (ت) ودلالتها بين المجموعة التجريبية والضابطة في القياس البعدي</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3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المتغير</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تجريبية (م ± ع)</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ضابطة (م ± ع)</w:t>
            </w:r>
          </w:p>
        </w:tc>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قيمة (ت)</w:t>
            </w:r>
          </w:p>
        </w:tc>
        <w:tc>
          <w:tcPr>
            <w:tcW w:type="pct" w:w="18%"/>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التراكمي (%)</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7.41 ± 0.59</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8.08 ± 0.63</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2.85</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الصائم (ملغ/دل)</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138.6 ± 17.2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170.8 ± 19.4</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4.56</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مقاومة الإنسولين HOMA-IR</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3.15 ± 0.62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4.47 ± 0.77</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4.91</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القوة اليدوية (كجم)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28.7 ± 4.5</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24.9 ± 4.1</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2.42</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محيط الخصر (سم)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101.2 ± 6.8</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106.8 ± 7.2</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2.19</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مؤشر كتلة الجسم (كجم/م2)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29.1 ± 2.1</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30.9 ± 2.3</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2.24</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bl>
    <w:p>
      <w:pPr>
        <w:bidi/>
        <w:spacing w:after="120" w:before="120" w:line="360" w:lineRule="atLeast"/>
        <w:ind w:firstLine="480"/>
        <w:jc w:val="both"/>
      </w:pPr>
      <w:r>
        <w:rPr>
          <w:rFonts w:ascii="Times New Roman" w:cs="Traditional Arabic" w:hAnsi="Times New Roman"/>
          <w:b w:val="false"/>
          <w:bCs w:val="false"/>
          <w:i w:val="false"/>
          <w:iCs w:val="false"/>
          <w:color w:val="000000"/>
          <w:sz w:val="32"/>
          <w:szCs w:val="32"/>
          <w:rtl/>
        </w:rPr>
        <w:t xml:space="preserve">يتضح تفوق المجموعة التجريبية على الضابطة في القياس البعدي بفروق دالة في المتغيرات الستة كلها، وقد بلغت الفروق ذروتها في مقاومة الإنسولين والسكر الصائم حيث تجاوزت قيمتا (ت) 4.5، بينما بقيت الفروق دالة بأحجام متوسطة في مؤشرات التكوين الجسمي والقوة. ويعني ذلك أن التحسن المرصود لا يرجع إلى تغيرات زمنية عامة أو تكيف مع إجراءات القياس، إذ ظلت الضابطة قريبة من مستوياتها القبلية، بل إلى أثر البرنامج التدريبي المدمج تحديدًا. وبذلك تتحقق فرضيات الدراسة في حدودها كافة: انخفاض دال داخل التجريبية، وثبات نسبي داخل الضابطة، وتفوق دال للتجريبية على الضابطة.</w:t>
      </w:r>
    </w:p>
    <w:p>
      <w:pPr>
        <w:pStyle w:val="Heading1"/>
        <w:bidi/>
        <w:spacing w:after="300" w:before="480" w:line="460" w:lineRule="atLeast"/>
        <w:jc w:val="center"/>
      </w:pPr>
      <w:bookmarkStart w:id="100008" w:name="_Toc100008"/>
      <w:r>
        <w:rPr>
          <w:rFonts w:ascii="Times New Roman" w:cs="Simplified Arabic" w:hAnsi="Times New Roman"/>
          <w:b/>
          <w:bCs/>
          <w:i w:val="false"/>
          <w:iCs w:val="false"/>
          <w:color w:val="000000"/>
          <w:sz w:val="36"/>
          <w:szCs w:val="36"/>
          <w:rtl/>
        </w:rPr>
        <w:t xml:space="preserve">4. المناقشة</w:t>
      </w:r>
      <w:bookmarkEnd w:id="100008"/>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تأتي نتيجة انخفاض السكر التراكمي بمقدار 0.74 نقطة مئوية متسقة مع متوسط الأثر العالمي للبرامج المنظمة المنشورة في مراجعة أومبير وزملائه (Umpierre et al., 2011)، وهي النتيجة التي تفسَّر فسيولوجيًا بتضافر آليتين: الاستهلاك الحاد للجلوكوز أثناء الجزء الهوائي عبر المسار المستقل عن الإنسولين، وتحسين كفاءة إشارات الإنسولين العضلية على المدى التدريبي برفع محتوى ناقل GLUT4 كما وثقته دراسة هولتن وزملائها لدى مرضى مماثلين (Holten et al., 2004). ويحتمل أن تركيب الحصة المدمجة نفسه كان مساهمًا فعالًا، إذ يوظف النمطان في نافذة استقلابية واحدة فتطول مدة الارتفاع في معدل سحب الجلوكوز بعد الحصة، وهو التفسير الذي ينسجم مع رصد المراجعة ذاتها لتفوق التركيب المدمج على الأنماط المنفصلة.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وفي المفارقة العربية، تتفق نتائج الدراسة مع دراسة الكيتاني التي رصدت انخفاض السكر التراكمي ومقاومة الإنسولين لدى المصابات بعد برنامج هوائي مقترح، مع ميزة إضافية لهذه الدراسة في إدماج المكون المقاوم الذي أفادت دراسة نيمان دوره الوسيط في تحسين مقاومة الإنسولين عبر تغيرات تكوين الجسم (Niemann et al., 2020)، وهي آلية تتجلى في تقلص محيط الخصر وانخفاض مؤشر كتلة الجسم المرصودين هنا. أما تحسن القوة اليدوية بمعدل 16.7 في المائة فيفسر بالتكيف العصبي العضلي المبكر للجرعات المقاومة المتدرجة، ويكتسب قيمة سريرية إضافية كون قوة القبضة مؤشر تنبؤي مستقل لجودة الاستقلاب لدى كبار السن. ويبقى ثبات المجموعة الضابطة خلال الفترة نفسها أقوى شواهد صحة الاستدلال، إذ يستبعد تفسير النتائج بعوامل المرضى الطبيعية أو إعادة القياس.</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ولا تخلو الدراسة من حدود تقويمية ينبغي النظر إلى النتائج في ضوئها: فالعينة قصدية من عيادة واحدة مما يحد من التعميم، ومدة اثني عشر أسبوعًا كافية لكشف التكيف الحاد والمتوسط دون حسم سؤال الاستدامة طويلة المدى، ولم تشمل منظومة القياس مؤشرات الوظيفة البطنية أو تكوين الجسم الدقيق التي قد تكشف أبعادًا إضافية للأثر. ومع ذلك فإن اتساق النتائج مع المرجعيات الدولية والعربية معًا يرجح أن التركيب التدريبي المدمج مسار قابل للتكرار في البيئات المماثلة بشروط الإشراف الطبي وتثبيت الجرعات الدوائية ذاتها.</w:t>
      </w:r>
    </w:p>
    <w:p>
      <w:pPr>
        <w:pStyle w:val="Heading1"/>
        <w:bidi/>
        <w:spacing w:after="300" w:before="480" w:line="460" w:lineRule="atLeast"/>
        <w:jc w:val="center"/>
      </w:pPr>
      <w:bookmarkStart w:id="100009" w:name="_Toc100009"/>
      <w:r>
        <w:rPr>
          <w:rFonts w:ascii="Times New Roman" w:cs="Simplified Arabic" w:hAnsi="Times New Roman"/>
          <w:b/>
          <w:bCs/>
          <w:i w:val="false"/>
          <w:iCs w:val="false"/>
          <w:color w:val="000000"/>
          <w:sz w:val="36"/>
          <w:szCs w:val="36"/>
          <w:rtl/>
        </w:rPr>
        <w:t xml:space="preserve">5. الخاتمة</w:t>
      </w:r>
      <w:bookmarkEnd w:id="100009"/>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خلصت الدراسة إلى أن برنامجًا تدريبيًا مدمجًا يجمع الجهد الهوائي مع الجهد العضلي في الحصة الواحدة، مدته اثنا عشر أسبوعًا بواقع ثلاث حصص أسبوعية، قادر على تحسين السكر التراكمي والسكر الصائم ومقاومة الإنسولين والقوة العضلية ومؤشرات التكوين الجسمي لدى مرضى السكري النمط الثاني بفروق دالة إحصائيًا وبأحجام أثر عملية مجدية سريريًا. وأوصت الدراسة بإدماج الحصص المدمجة المضبوطة الجرعة في برامج الرعاية الصحية الأولية للمرضى بالتنسيق بين الطبيب وأخصائي التدريب، وبنشر ثقافة الجرعة التدريبية المكتوبة بدل التوصيات العامة، وبإجراء بحوث لاحقة تطيل مدة المتابعة لتقويم استدامة الأثر، وتوسع العينات لتشمل فئات عمرية ومرضية أوسع، وتضيف مؤشرات الوظيفة البطنية وتكوين الجسم الدقيق إلى منظومة القياس.</w:t>
      </w:r>
    </w:p>
    <w:p>
      <w:pPr>
        <w:pStyle w:val="Heading1"/>
        <w:bidi/>
        <w:spacing w:after="300" w:before="480" w:line="460" w:lineRule="atLeast"/>
        <w:jc w:val="center"/>
      </w:pPr>
      <w:bookmarkStart w:id="100010" w:name="_Toc100010"/>
      <w:r>
        <w:rPr>
          <w:rFonts w:ascii="Times New Roman" w:cs="Simplified Arabic" w:hAnsi="Times New Roman"/>
          <w:b/>
          <w:bCs/>
          <w:i w:val="false"/>
          <w:iCs w:val="false"/>
          <w:color w:val="000000"/>
          <w:sz w:val="36"/>
          <w:szCs w:val="36"/>
          <w:rtl/>
        </w:rPr>
        <w:t xml:space="preserve">المراجع</w:t>
      </w:r>
      <w:bookmarkEnd w:id="100010"/>
    </w:p>
    <w:p>
      <w:pPr>
        <w:pStyle w:val="Heading2"/>
        <w:bidi/>
        <w:spacing w:after="200" w:before="360" w:line="420" w:lineRule="atLeast"/>
        <w:jc w:val="start"/>
      </w:pPr>
      <w:bookmarkStart w:id="100011" w:name="_Toc100011"/>
      <w:r>
        <w:rPr>
          <w:rFonts w:ascii="Times New Roman" w:cs="Simplified Arabic" w:hAnsi="Times New Roman"/>
          <w:b/>
          <w:bCs/>
          <w:i w:val="false"/>
          <w:iCs w:val="false"/>
          <w:color w:val="000000"/>
          <w:sz w:val="32"/>
          <w:szCs w:val="32"/>
          <w:rtl/>
        </w:rPr>
        <w:t xml:space="preserve">أولًا: المراجع العربية</w:t>
      </w:r>
      <w:bookmarkEnd w:id="100011"/>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الكيتاني، محفوظة. تأثير برنامج تدريبي هوائي مقترح على مستوى السكر التراكمي ومقاومة الإنسولين وبعض المؤشرات المرتبطة لدى المصابات بمرض السكري من النوع الثاني في سلطنة عمان. قاعدة بيانات دار المنظومة (المنهل)، متاح على الرابط: search.mandumah.com.</w:t>
      </w:r>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دراسة تأثير البرنامج الترويحي في تنظيم سكر الدم والأنسولين للمرضى المصابين بمرض السكري من النوع الثاني. موقع المتميز للعلوم والتقنية (mobt3ath.com)، متاح على الرابط: www.mobt3ath.com.</w:t>
      </w:r>
    </w:p>
    <w:p>
      <w:pPr>
        <w:pStyle w:val="Heading2"/>
        <w:bidi/>
        <w:spacing w:after="200" w:before="360" w:line="420" w:lineRule="atLeast"/>
        <w:jc w:val="start"/>
      </w:pPr>
      <w:bookmarkStart w:id="100012" w:name="_Toc100012"/>
      <w:r>
        <w:rPr>
          <w:rFonts w:ascii="Times New Roman" w:cs="Simplified Arabic" w:hAnsi="Times New Roman"/>
          <w:b/>
          <w:bCs/>
          <w:i w:val="false"/>
          <w:iCs w:val="false"/>
          <w:color w:val="000000"/>
          <w:sz w:val="32"/>
          <w:szCs w:val="32"/>
          <w:rtl/>
        </w:rPr>
        <w:t xml:space="preserve">ثانيًا: المراجع الأجنبية</w:t>
      </w:r>
      <w:bookmarkEnd w:id="100012"/>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Colberg, S. R., Sigal, R. J., Fernhall, B., Regensteiner, J. G., Blissmer, B. J., Rubin, R. R., et al. (2010). Exercise and type 2 diabetes: The American College of Sports Medicine and the American Diabetes Association joint position statement. Diabetes Care, 33(7), e147-e167.</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Diabetes Prevention Program Research Group. (2002). Reduction in the incidence of type 2 diabetes with lifestyle intervention or metformin. New England Journal of Medicine, 346(6), 393-403.</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Hungerford, K. (2024). The effects of exercise on diabetes mellitus type 2. University of Wyoming — Wyoscholar Institutional Repository. Available at: wyoscholar.uwyo.edu.</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Holten, M. K., Zacho, M., Gaster, M., Juel, C., Wojtaszewski, J. F. P., &amp; Dela, F. (2004). Strength training increases insulin-mediated glucose uptake, GLUT4 content, and insulin signaling in skeletal muscle in patients with type 2 diabetes. Diabetes, 53(2), 294-304.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Kanaley, J. A., Colberg, S. R., Corcoran, M. H., Malin, S. K., Rodriguez, A. C., Crespo, C. J., et al. (2016). Exercise/physical activity in individuals with type 2 diabetes: A position statement of the American Diabetes Association. Diabetes Care, 39(11), 2065-2079.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Look AHEAD Research Group. (2013). Cardiovascular effects of intensive lifestyle intervention in type 2 diabetes. New England Journal of Medicine, 369(2), 145-154.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Niemann, M. K. J., et al. (2020). Strength training and insulin resistance: The mediating role of body composition. Journal of Physical Activity and Health, 17(9). Available via PubMed.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Ramezani, S., et al. (2023). The effect of different types of exercise on indicators related to blood sugar control. Feyz Medical Sciences Journal, Kashan University of Medical Sciences. Available at: feyz.kaums.ac.ir.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Siregar, A. S., et al. (2025). The effect of physical exercise on blood glucose levels, HbA1c, and blood glucose variability in patients with type 2 diabetes: A quantitative analysis. Journal of Prima University. Available at: jurnal.unprimdn.ac.id.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The Impact of Resistance Exercise Training on Glycemic Control in Type 2 Diabetes. (2026). ResearchGate Publication. Available at: www.researchgate.net.</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Umpierre, D., Ribeiro, P. A. B., Kramer, C. K., Leitao, C. B., Zucatti, A. T. N., Azevedo, M. J., et al. (2011). Physical activity advice only or structured exercise training and association with HbA1c levels in type 2 diabetes: A systematic review and meta-analysis. JAMA, 305(17), 1790-1799.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Wang, W., et al. (2021). The effect of physical exercise on blood sugar control in diabetic patients. SciELO Scientific Electronic Library. Available at: www.scielo.br.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Zahalka, S. J., et al. (2025). The role of exercise in diabetes. In: Feingold, K. R., et al. (Eds.), Endotext. South Dartmouth, MA: MDText.com, Inc. (NCBI Bookshelf). Available at: www.endotext.org.</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1"/>
        <w:szCs w:val="21"/>
      </w:rPr>
      <w:t xml:space="preserve">- </w:t>
    </w:r>
    <w:r>
      <w:rPr>
        <w:rFonts w:ascii="Times New Roman" w:hAnsi="Times New Roman"/>
        <w:sz w:val="21"/>
        <w:szCs w:val="21"/>
      </w:rPr>
      <w:fldChar w:fldCharType="begin"/>
      <w:instrText xml:space="preserve"> PAGE \* ROMAN \* MERGEFORMAT </w:instrText>
      <w:fldChar w:fldCharType="separate"/>
      <w:fldChar w:fldCharType="end"/>
    </w:r>
    <w:r>
      <w:rPr>
        <w:rFonts w:ascii="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2"/>
        <w:szCs w:val="22"/>
      </w:rPr>
      <w:t xml:space="preserve">- </w:t>
    </w:r>
    <w:r>
      <w:rPr>
        <w:rFonts w:ascii="Times New Roman" w:hAnsi="Times New Roman"/>
        <w:sz w:val="22"/>
        <w:szCs w:val="22"/>
      </w:rPr>
      <w:fldChar w:fldCharType="begin"/>
      <w:instrText xml:space="preserve"> PAGE \* arabic \* MERGEFORMAT </w:instrText>
      <w:fldChar w:fldCharType="separate"/>
      <w:fldChar w:fldCharType="end"/>
    </w:r>
    <w:r>
      <w:rPr>
        <w:rFonts w:ascii="Times New Roman" w:hAnsi="Times New Roman"/>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color w:val="000000"/>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460"/>
      <w:outlineLvl w:val="0"/>
    </w:pPr>
    <w:rPr>
      <w:rFonts w:ascii="Times New Roman" w:cs="Simplified Arabic" w:hAnsi="Times New Roman"/>
      <w:b/>
      <w:bCs/>
      <w:color w:val="000000"/>
      <w:sz w:val="36"/>
      <w:szCs w:val="36"/>
    </w:rPr>
  </w:style>
  <w:style w:type="paragraph" w:styleId="Heading2">
    <w:name w:val="Heading 2"/>
    <w:basedOn w:val="Normal"/>
    <w:next w:val="Normal"/>
    <w:qFormat/>
    <w:pPr>
      <w:spacing w:after="200" w:before="360" w:line="420"/>
      <w:outlineLvl w:val="1"/>
    </w:pPr>
    <w:rPr>
      <w:rFonts w:ascii="Times New Roman" w:cs="Simplified Arabic" w:hAnsi="Times New Roman"/>
      <w:b/>
      <w:bCs/>
      <w:color w:val="000000"/>
      <w:sz w:val="32"/>
      <w:szCs w:val="32"/>
    </w:rPr>
  </w:style>
  <w:style w:type="paragraph" w:styleId="Heading3">
    <w:name w:val="Heading 3"/>
    <w:basedOn w:val="Normal"/>
    <w:next w:val="Normal"/>
    <w:qFormat/>
    <w:pPr>
      <w:spacing w:after="160" w:before="240" w:line="400"/>
      <w:outlineLvl w:val="2"/>
    </w:pPr>
    <w:rPr>
      <w:rFonts w:ascii="Times New Roman" w:cs="Simplified Arabic" w:hAnsi="Times New Roman"/>
      <w:b/>
      <w:bCs/>
      <w:color w:val="000000"/>
      <w:sz w:val="30"/>
      <w:szCs w:val="30"/>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bidi/>
      <w:tabs>
        <w:tab w:val="right" w:leader="dot" w:pos="9026"/>
      </w:tabs>
      <w:spacing w:before="120" w:after="60"/>
    </w:pPr>
    <w:rPr>
      <w:b/>
      <w:bCs/>
    </w:rPr>
  </w:style>
  <w:style xmlns:w="http://schemas.openxmlformats.org/wordprocessingml/2006/main" w:type="paragraph" w:styleId="11">
    <w:name w:val="toc 2"/>
    <w:basedOn w:val="Normal"/>
    <w:uiPriority w:val="39"/>
    <w:pPr>
      <w:bidi/>
      <w:tabs>
        <w:tab w:val="right" w:leader="dot" w:pos="9026"/>
      </w:tabs>
      <w:ind w:left="360"/>
      <w:spacing w:before="60" w:after="40"/>
    </w:pPr>
  </w:style>
  <w:style xmlns:w="http://schemas.openxmlformats.org/wordprocessingml/2006/main" w:type="paragraph" w:styleId="12">
    <w:name w:val="toc 3"/>
    <w:basedOn w:val="Normal"/>
    <w:uiPriority w:val="39"/>
    <w:pPr>
      <w:bidi/>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تأثير الجهد البدني والعضلي على مرضى السكري – ريهام سعيد</dc:title>
  <dc:creator>ريهام سعيد</dc:creator>
  <cp:lastModifiedBy>Un-named</cp:lastModifiedBy>
  <cp:revision>1</cp:revision>
  <dcterms:created xsi:type="dcterms:W3CDTF">2026-10-02T06:45:37.536Z</dcterms:created>
  <dcterms:modified xsi:type="dcterms:W3CDTF">2026-10-02T06:45:37.536Z</dcterms:modified>
</cp:coreProperties>
</file>

<file path=docProps/custom.xml><?xml version="1.0" encoding="utf-8"?>
<Properties xmlns="http://schemas.openxmlformats.org/officeDocument/2006/custom-properties" xmlns:vt="http://schemas.openxmlformats.org/officeDocument/2006/docPropsVTypes"/>
</file>