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700" w:line="520" w:lineRule="atLeast"/>
        <w:jc w:val="center"/>
      </w:pPr>
      <w:r>
        <w:rPr>
          <w:rFonts w:ascii="Times New Roman" w:cs="Simplified Arabic" w:hAnsi="Times New Roman"/>
          <w:b/>
          <w:bCs/>
          <w:i w:val="false"/>
          <w:iCs w:val="false"/>
          <w:color w:val="000000"/>
          <w:sz w:val="44"/>
          <w:szCs w:val="44"/>
          <w:rtl/>
        </w:rPr>
        <w:t xml:space="preserve">كلية التربية الرياضية</w:t>
      </w:r>
    </w:p>
    <w:p>
      <w:pPr>
        <w:bidi/>
        <w:spacing w:after="500" w:line="360" w:lineRule="atLeast"/>
        <w:jc w:val="center"/>
      </w:pPr>
      <w:r>
        <w:rPr>
          <w:rFonts w:ascii="Times New Roman" w:cs="Traditional Arabic" w:hAnsi="Times New Roman"/>
          <w:b w:val="false"/>
          <w:bCs w:val="false"/>
          <w:i w:val="false"/>
          <w:iCs w:val="false"/>
          <w:color w:val="000000"/>
          <w:sz w:val="28"/>
          <w:szCs w:val="28"/>
          <w:rtl/>
        </w:rPr>
        <w:t xml:space="preserve">قسم علوم الرياضة والصحة</w:t>
      </w:r>
    </w:p>
    <w:p>
      <w:pPr>
        <w:bidi/>
        <w:spacing w:after="700" w:line="420" w:lineRule="atLeast"/>
        <w:jc w:val="center"/>
      </w:pPr>
      <w:r>
        <w:rPr>
          <w:rFonts w:ascii="Times New Roman" w:cs="Simplified Arabic" w:hAnsi="Times New Roman"/>
          <w:b/>
          <w:bCs/>
          <w:i w:val="false"/>
          <w:iCs w:val="false"/>
          <w:color w:val="000000"/>
          <w:sz w:val="34"/>
          <w:szCs w:val="34"/>
          <w:rtl/>
        </w:rPr>
        <w:t xml:space="preserve">أطروحة تخرج لنيل درجة البكالوريوس – نظام الفصول الخمسة</w:t>
      </w:r>
    </w:p>
    <w:p>
      <w:pPr>
        <w:bidi/>
        <w:spacing w:after="160" w:line="340" w:lineRule="atLeast"/>
        <w:jc w:val="center"/>
      </w:pPr>
      <w:r>
        <w:rPr>
          <w:rFonts w:ascii="Times New Roman" w:cs="Traditional Arabic" w:hAnsi="Times New Roman"/>
          <w:b w:val="false"/>
          <w:bCs w:val="false"/>
          <w:i w:val="false"/>
          <w:iCs w:val="false"/>
          <w:color w:val="333333"/>
          <w:sz w:val="26"/>
          <w:szCs w:val="26"/>
          <w:rtl/>
        </w:rPr>
        <w:t xml:space="preserve">عنوان البحث</w:t>
      </w:r>
    </w:p>
    <w:p>
      <w:pPr>
        <w:bidi/>
        <w:spacing w:after="100" w:line="500" w:lineRule="atLeast"/>
        <w:jc w:val="center"/>
      </w:pPr>
      <w:r>
        <w:rPr>
          <w:rFonts w:ascii="Times New Roman" w:cs="Simplified Arabic" w:hAnsi="Times New Roman"/>
          <w:b/>
          <w:bCs/>
          <w:i w:val="false"/>
          <w:iCs w:val="false"/>
          <w:color w:val="000000"/>
          <w:sz w:val="40"/>
          <w:szCs w:val="40"/>
          <w:rtl/>
        </w:rPr>
        <w:t xml:space="preserve">تأثير الجهد البدني والعضلي</w:t>
      </w:r>
    </w:p>
    <w:p>
      <w:pPr>
        <w:bidi/>
        <w:spacing w:after="200" w:line="500" w:lineRule="atLeast"/>
        <w:jc w:val="center"/>
      </w:pPr>
      <w:r>
        <w:rPr>
          <w:rFonts w:ascii="Times New Roman" w:cs="Simplified Arabic" w:hAnsi="Times New Roman"/>
          <w:b/>
          <w:bCs/>
          <w:i w:val="false"/>
          <w:iCs w:val="false"/>
          <w:color w:val="000000"/>
          <w:sz w:val="40"/>
          <w:szCs w:val="40"/>
          <w:rtl/>
        </w:rPr>
        <w:t xml:space="preserve">على مرضى السكري</w:t>
      </w:r>
    </w:p>
    <w:p>
      <w:pPr>
        <w:spacing w:after="700" w:line="320" w:lineRule="atLeast"/>
        <w:jc w:val="center"/>
      </w:pPr>
      <w:r>
        <w:rPr>
          <w:rFonts w:ascii="Times New Roman" w:cs="Traditional Arabic" w:hAnsi="Times New Roman"/>
          <w:b w:val="false"/>
          <w:bCs w:val="false"/>
          <w:i/>
          <w:iCs/>
          <w:color w:val="000000"/>
          <w:sz w:val="24"/>
          <w:szCs w:val="24"/>
        </w:rPr>
        <w:t xml:space="preserve">The Effect of Physical and Muscular Exertion on Patients with Diabetes Mellitus</w:t>
      </w:r>
    </w:p>
    <w:tbl>
      <w:tblPr>
        <w:bidiVisual/>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إعداد الطالب:</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مصطفى بكور</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تحت إشراف:</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د. خالد محمد ياسين</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العام الجامعي:</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2025 / 2026</w:t>
            </w:r>
          </w:p>
        </w:tc>
      </w:tr>
    </w:tbl>
    <w:p>
      <w:pPr>
        <w:bidi/>
        <w:spacing w:before="800" w:line="360" w:lineRule="atLeast"/>
        <w:jc w:val="center"/>
      </w:pPr>
      <w:r>
        <w:rPr>
          <w:rFonts w:ascii="Times New Roman" w:cs="Traditional Arabic" w:hAnsi="Times New Roman"/>
          <w:b w:val="false"/>
          <w:bCs w:val="false"/>
          <w:i w:val="false"/>
          <w:iCs w:val="false"/>
          <w:color w:val="000000"/>
          <w:sz w:val="28"/>
          <w:szCs w:val="28"/>
          <w:rtl/>
        </w:rPr>
        <w:t xml:space="preserve">مايو 2026</w:t>
      </w:r>
    </w:p>
    <w:p>
      <w:pPr>
        <w:sectPr>
          <w:pgSz w:w="11906" w:h="16838" w:orient="portrait"/>
          <w:pgMar w:top="1440" w:right="1417" w:bottom="1440" w:left="1701" w:header="850" w:footer="992" w:gutter="0"/>
          <w:docGrid w:linePitch="360"/>
        </w:sectPr>
      </w:pPr>
    </w:p>
    <w:p>
      <w:pPr>
        <w:bidi/>
        <w:spacing w:after="300" w:before="200" w:line="460" w:lineRule="atLeast"/>
        <w:jc w:val="center"/>
      </w:pPr>
      <w:r>
        <w:rPr>
          <w:rFonts w:ascii="Times New Roman" w:cs="Traditional Arabic" w:hAnsi="Times New Roman"/>
          <w:b/>
          <w:bCs/>
          <w:i w:val="false"/>
          <w:iCs w:val="false"/>
          <w:color w:val="000000"/>
          <w:sz w:val="36"/>
          <w:szCs w:val="36"/>
          <w:rtl/>
        </w:rPr>
        <w:t xml:space="preserve">شكر وتقدير</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أحمد الله سبحانه وتعالى أن وفقني لإتمام هذه الأطروحة، وأشكر أستاذي المشرف الدكتور خالد محمد ياسين الذي لم يبخل عليّ بتوجيهاته العلمية وملاحظاته الدقيقة منذ اختيار الموضوع حتى اعتماد الصيغة النهائية، فقد كان لهذا التوجيه الأثر الأكبر في ضبط مسار الدراسة الميدانية وتنظيم إجراءاتها القياسية والتحليلية.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كما أتقدم بالشكر الجزيل إلى إدارة العيادة المرجعية والأطباء والمختصين الذين سهّلوا إجراء التحاليل المخبرية ومتابعة المرضى المشاركين، وإلى مرضى عينة الدراسة الذين التزموا بالحصص التدريبية بوصفهم شركاء حقيقيين في نجاح هذا العمل. وليس يفوتني أن أشكر عائلتي التي ساندتني طوال سنوات الدراسة، وكل من ساهم بدرس أو فكرة في إخراج هذه الأطروحة إلى النور.</w:t>
      </w:r>
    </w:p>
    <w:p>
      <w:pPr>
        <w:bidi/>
        <w:spacing w:after="120" w:line="360" w:lineRule="atLeast"/>
        <w:jc w:val="both"/>
      </w:pPr>
      <w:r>
        <w:rPr>
          <w:rFonts w:ascii="Times New Roman" w:cs="Traditional Arabic" w:hAnsi="Times New Roman"/>
          <w:b/>
          <w:bCs/>
          <w:i w:val="false"/>
          <w:iCs w:val="false"/>
          <w:color w:val="000000"/>
          <w:sz w:val="32"/>
          <w:szCs w:val="32"/>
          <w:rtl/>
        </w:rPr>
        <w:t xml:space="preserve">مصطفى بكور</w:t>
      </w:r>
      <w:r>
        <w:rPr>
          <w:rFonts w:ascii="Times New Roman" w:cs="Traditional Arabic" w:hAnsi="Times New Roman"/>
          <w:b w:val="false"/>
          <w:bCs w:val="false"/>
          <w:i w:val="false"/>
          <w:iCs w:val="false"/>
          <w:color w:val="000000"/>
          <w:sz w:val="28"/>
          <w:szCs w:val="28"/>
          <w:rtl/>
        </w:rPr>
        <w:t xml:space="preserve">  —  مايو 2026</w:t>
      </w:r>
      <w:r>
        <w:br w:type="page"/>
      </w:r>
    </w:p>
    <w:p>
      <w:pPr>
        <w:bidi/>
        <w:spacing w:after="360" w:before="480" w:line="460" w:lineRule="atLeast"/>
        <w:jc w:val="center"/>
      </w:pPr>
      <w:r>
        <w:rPr>
          <w:rFonts w:ascii="Times New Roman" w:cs="Simplified Arabic" w:hAnsi="Times New Roman"/>
          <w:b/>
          <w:bCs/>
          <w:i w:val="false"/>
          <w:iCs w:val="false"/>
          <w:color w:val="000000"/>
          <w:sz w:val="36"/>
          <w:szCs w:val="36"/>
          <w:rtl/>
        </w:rPr>
        <w:t xml:space="preserve">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الفصل الأول: الإطار العام للدراسة</w:t>
            </w:r>
            <w:r>
              <w:tab/>
            </w:r>
            <w:r>
              <w:fldChar w:fldCharType="begin"/>
            </w:r>
            <w:r>
              <w:instrText xml:space="preserve"> PAGEREF _Toc100000 \h </w:instrText>
            </w:r>
            <w:r>
              <w:fldChar w:fldCharType="separate"/>
            </w:r>
            <w:r>
              <w:t>3</w:t>
            </w:r>
            <w:r>
              <w:fldChar w:fldCharType="end"/>
            </w:r>
          </w:hyperlink>
        </w:p>
        <w:p>
          <w:pPr>
            <w:pStyle w:val="11"/>
            <w:ind w:left="360"/>
            <w:tabs>
              <w:tab w:val="right" w:leader="dot" w:pos="9026"/>
            </w:tabs>
            <w:spacing w:before="120" w:after="60"/>
          </w:pPr>
          <w:hyperlink w:anchor="_Toc100001" w:history="1">
            <w:r>
              <w:rPr>
                <w:rStyle w:val="Hyperlink"/>
              </w:rPr>
              <w:t>تمهيد</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مشكلة الدراسة وتساؤلاتها</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فرضيات الدراسة</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أهمية الدراسة وأهدافها</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مصطلحات الدراسة وحدودها</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الفصل الثاني: الإطار النظري والدراسات السابقة</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المبحث الأول: مرض السكري النمط الثاني: طبيعته ومضاعفاته ومداخل التعامل معه</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المبحث الثاني: الجهد البدني والعضلي: الأسس الفسيولوجية والتطبيق التدريبي</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المبحث الثالث: الدراسات السابقة والتعقيب عليها</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الفصل الثالث: إجراءات الدراسة</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المنهج المتبع</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مجتمع الدراسة وعينتها</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أدوات جمع البيانات وأماكنها</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البرنامج التدريبي المدمج</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الإجراءات الإحصائية</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الفصل الرابع: عرض النتائج وتحليلها</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تمهيد</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نتائج المجموعة التجريبية</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نتائج المجموعة الضابطة</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نتائج الفروق بين المجموعتين في القياس البعدي</w:t>
            </w:r>
            <w:r>
              <w:tab/>
            </w:r>
            <w:r>
              <w:fldChar w:fldCharType="begin"/>
            </w:r>
            <w:r>
              <w:instrText xml:space="preserve"> PAGEREF _Toc100020 \h </w:instrText>
            </w:r>
            <w:r>
              <w:fldChar w:fldCharType="separate"/>
            </w:r>
            <w:r>
              <w:t>9</w:t>
            </w:r>
            <w:r>
              <w:fldChar w:fldCharType="end"/>
            </w:r>
          </w:hyperlink>
        </w:p>
        <w:p>
          <w:pPr>
            <w:pStyle w:val="9"/>
            <w:tabs>
              <w:tab w:val="right" w:leader="dot" w:pos="9026"/>
            </w:tabs>
            <w:spacing w:before="120" w:after="60"/>
          </w:pPr>
          <w:hyperlink w:anchor="_Toc100021" w:history="1">
            <w:r>
              <w:rPr>
                <w:rStyle w:val="Hyperlink"/>
              </w:rPr>
              <w:t>الفصل الخامس: المناقشة والاستنتاجات والتوصيات</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مناقشة النتائج</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الاستنتاجات</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التوصيات والبحوث المقترحة</w:t>
            </w:r>
            <w:r>
              <w:tab/>
            </w:r>
            <w:r>
              <w:fldChar w:fldCharType="begin"/>
            </w:r>
            <w:r>
              <w:instrText xml:space="preserve"> PAGEREF _Toc100024 \h </w:instrText>
            </w:r>
            <w:r>
              <w:fldChar w:fldCharType="separate"/>
            </w:r>
            <w:r>
              <w:t>11</w:t>
            </w:r>
            <w:r>
              <w:fldChar w:fldCharType="end"/>
            </w:r>
          </w:hyperlink>
        </w:p>
        <w:p>
          <w:pPr>
            <w:pStyle w:val="9"/>
            <w:tabs>
              <w:tab w:val="right" w:leader="dot" w:pos="9026"/>
            </w:tabs>
            <w:spacing w:before="120" w:after="60"/>
          </w:pPr>
          <w:hyperlink w:anchor="_Toc100025" w:history="1">
            <w:r>
              <w:rPr>
                <w:rStyle w:val="Hyperlink"/>
              </w:rPr>
              <w:t>المراجع</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أولًا: المراجع العربية</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ثانيًا: المراجع الأجنبية</w:t>
            </w:r>
            <w:r>
              <w:tab/>
            </w:r>
            <w:r>
              <w:fldChar w:fldCharType="begin"/>
            </w:r>
            <w:r>
              <w:instrText xml:space="preserve"> PAGEREF _Toc100027 \h </w:instrText>
            </w:r>
            <w:r>
              <w:fldChar w:fldCharType="separate"/>
            </w:r>
            <w:r>
              <w:t>11</w:t>
            </w:r>
            <w:r>
              <w:fldChar w:fldCharType="end"/>
            </w:r>
          </w:hyperlink>
        </w:p>
        <w:p>
          <w:r>
            <w:fldChar w:fldCharType="end"/>
          </w:r>
        </w:p>
      </w:sdtContent>
    </w:sdt>
    <w:p>
      <w:pPr>
        <w:bidi/>
        <w:spacing w:before="200" w:line="300" w:lineRule="atLeast"/>
      </w:pPr>
      <w:r>
        <w:rPr>
          <w:rFonts w:ascii="Times New Roman" w:cs="Traditional Arabic" w:hAnsi="Times New Roman"/>
          <w:b w:val="false"/>
          <w:bCs w:val="false"/>
          <w:i/>
          <w:iCs/>
          <w:color w:val="888888"/>
          <w:sz w:val="18"/>
          <w:szCs w:val="18"/>
          <w:rtl/>
        </w:rPr>
        <w:t xml:space="preserve">ملاحظة: هذا الجدول مولد آليًا برموز الحقول، وبعد أي تعديل انقر بزر الفأرة الأيمن على الجدول واختر تحديث الحقل لضبط أرقام الصفحات.</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bidi/>
        <w:spacing w:after="300" w:before="0" w:line="460" w:lineRule="atLeast"/>
        <w:jc w:val="center"/>
      </w:pPr>
      <w:bookmarkStart w:id="100000" w:name="_Toc100000"/>
      <w:r>
        <w:rPr>
          <w:rFonts w:ascii="Times New Roman" w:cs="Simplified Arabic" w:hAnsi="Times New Roman"/>
          <w:b/>
          <w:bCs/>
          <w:i w:val="false"/>
          <w:iCs w:val="false"/>
          <w:color w:val="000000"/>
          <w:sz w:val="36"/>
          <w:szCs w:val="36"/>
          <w:rtl/>
        </w:rPr>
        <w:t xml:space="preserve">الفصل الأول: الإطار العام للدراسة</w:t>
      </w:r>
      <w:bookmarkEnd w:id="100000"/>
    </w:p>
    <w:p>
      <w:pPr>
        <w:pStyle w:val="Heading2"/>
        <w:bidi/>
        <w:spacing w:after="200" w:before="360" w:line="420" w:lineRule="atLeast"/>
        <w:jc w:val="start"/>
      </w:pPr>
      <w:bookmarkStart w:id="100001" w:name="_Toc100001"/>
      <w:r>
        <w:rPr>
          <w:rFonts w:ascii="Times New Roman" w:cs="Simplified Arabic" w:hAnsi="Times New Roman"/>
          <w:b/>
          <w:bCs/>
          <w:i w:val="false"/>
          <w:iCs w:val="false"/>
          <w:color w:val="000000"/>
          <w:sz w:val="32"/>
          <w:szCs w:val="32"/>
          <w:rtl/>
        </w:rPr>
        <w:t xml:space="preserve">تمهيد</w:t>
      </w:r>
      <w:bookmarkEnd w:id="10000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يمثل سكري النمط الثاني واحدًا من أسرع الأمراض المزمنة انتشارًا في العقود الأخيرة، حتى بات يوصف بأنه وباء العصر الصحي الحديث، وتتوزع أعباؤه على القلب والأوعية والكلى والشبكية والأعصاب الطرفية قبل أن تظهر أي أعراض مبكرة ملحوظة. وقد وجدت الأنظمة الصحية في النشاط البدني المنتظم سلاحًا وقائيًا وعلاجيًا في آن واحد، بعد أن راكمت الدراسات العالمية أدلة قوية على قدرته في الوقاية من المرض والسيطرة على مؤشراته الحيوية وتحسين جودة حياة المصابين به (Diabetes Prevention Program Research Group, 2002; Kanaley et al., 2016).</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ويفتح هذا الواقع أمام المتخصصين في التربية الرياضية مجالًا بحثيًا وتطبيقيًا واعدًا يتمثل في تصميم برامج تدريبية آمنة ومضبوطة الجرعة للفئات الصحية الخاصة، بحيث تجمع بين الجهد البدني الهوائي الذي يستهلك الجلوكوز أثناء الأداء، والجهد العضلي المقاوم الذي يحسّن حساسية الإنسولين ويزيد الكتلة العضلية المستهلكة للسكر. وتقع هذه الأطروحة في صلب هذا المجال، إذ تنقل فكرة البرنامج المدمج من مرحلة التخطيط النظري إلى مرحلة التنفيذ الميداني والقياس الفعلي لنتائجه لدى مرضى حقيقيين.</w:t>
      </w:r>
    </w:p>
    <w:p>
      <w:pPr>
        <w:pStyle w:val="Heading2"/>
        <w:bidi/>
        <w:spacing w:after="200" w:before="360" w:line="420" w:lineRule="atLeast"/>
        <w:jc w:val="start"/>
      </w:pPr>
      <w:bookmarkStart w:id="100002" w:name="_Toc100002"/>
      <w:r>
        <w:rPr>
          <w:rFonts w:ascii="Times New Roman" w:cs="Simplified Arabic" w:hAnsi="Times New Roman"/>
          <w:b/>
          <w:bCs/>
          <w:i w:val="false"/>
          <w:iCs w:val="false"/>
          <w:color w:val="000000"/>
          <w:sz w:val="32"/>
          <w:szCs w:val="32"/>
          <w:rtl/>
        </w:rPr>
        <w:t xml:space="preserve">مشكلة الدراسة وتساؤلاتها</w:t>
      </w:r>
      <w:bookmarkEnd w:id="10000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لاحظ الباحث من خلال تواصله مع الملتحقين بالعيادة المرجعية أن أغلب المرضى يكتوفون بنمط حياة خامل، وأن النصائح الطبية التي تتلخص في عبارة عامة عن أهمية المشي تظل دون تحديد واضح لنوع الجهد أو شدته أو تكراره أو مدته، رغم أن الأدبيات العالمية أثبتت أن الجمع المنظم بين الجهد الهوائي والجهد العضلي يتفوق على أي نمط منفرد في تحسين ضبط السكر (Umpierre et al., 2011). وعليه تتحدد مشكلة الدراسة في الحاجة إلى اختبار ميداني لبرنامج تدريبي مدمج مضبوط الجرعة يمكن أن يحوّل التوصيات الدولية إلى واقع تطبيقي عربي قابل للتكرار.</w:t>
      </w:r>
    </w:p>
    <w:p>
      <w:pPr>
        <w:bidi/>
        <w:spacing w:after="80" w:before="0" w:line="360" w:lineRule="atLeast"/>
        <w:jc w:val="both"/>
      </w:pPr>
      <w:r>
        <w:rPr>
          <w:rFonts w:ascii="Times New Roman" w:cs="Traditional Arabic" w:hAnsi="Times New Roman"/>
          <w:b w:val="false"/>
          <w:bCs w:val="false"/>
          <w:i w:val="false"/>
          <w:iCs w:val="false"/>
          <w:color w:val="000000"/>
          <w:sz w:val="32"/>
          <w:szCs w:val="32"/>
          <w:rtl/>
        </w:rPr>
        <w:t xml:space="preserve">وتسعى الدراسة إلى الإجابة عن التساؤل الرئيس الآتي:</w:t>
      </w:r>
    </w:p>
    <w:p>
      <w:pPr>
        <w:bidi/>
        <w:spacing w:after="120" w:before="0" w:line="360" w:lineRule="atLeast"/>
        <w:jc w:val="start"/>
      </w:pPr>
      <w:r>
        <w:rPr>
          <w:rFonts w:ascii="Times New Roman" w:cs="Traditional Arabic" w:hAnsi="Times New Roman"/>
          <w:b w:val="false"/>
          <w:bCs w:val="false"/>
          <w:i w:val="false"/>
          <w:iCs w:val="false"/>
          <w:color w:val="000000"/>
          <w:sz w:val="32"/>
          <w:szCs w:val="32"/>
          <w:rtl/>
        </w:rPr>
        <w:t xml:space="preserve">ما تأثير البرنامج التدريبي المدمج المقترح في السكر التراكمي والسكر الصائم ومقاومة الإنسولين والقوة العضلية ومؤشر كتلة الجسم لدى مرضى السكري من النمط الثاني؟</w:t>
      </w:r>
    </w:p>
    <w:p>
      <w:pPr>
        <w:bidi/>
        <w:spacing w:after="80" w:before="0" w:line="360" w:lineRule="atLeast"/>
        <w:jc w:val="both"/>
      </w:pPr>
      <w:r>
        <w:rPr>
          <w:rFonts w:ascii="Times New Roman" w:cs="Traditional Arabic" w:hAnsi="Times New Roman"/>
          <w:b w:val="false"/>
          <w:bCs w:val="false"/>
          <w:i w:val="false"/>
          <w:iCs w:val="false"/>
          <w:color w:val="000000"/>
          <w:sz w:val="32"/>
          <w:szCs w:val="32"/>
          <w:rtl/>
        </w:rPr>
        <w:t xml:space="preserve">وتتفرع عنه التساؤلات الآتية:</w:t>
      </w:r>
    </w:p>
    <w:p>
      <w:pPr>
        <w:bidi/>
        <w:spacing w:after="120" w:before="0" w:line="360" w:lineRule="atLeast"/>
        <w:jc w:val="start"/>
      </w:pPr>
      <w:r>
        <w:rPr>
          <w:rFonts w:ascii="Times New Roman" w:cs="Traditional Arabic" w:hAnsi="Times New Roman"/>
          <w:b w:val="false"/>
          <w:bCs w:val="false"/>
          <w:i w:val="false"/>
          <w:iCs w:val="false"/>
          <w:color w:val="000000"/>
          <w:sz w:val="32"/>
          <w:szCs w:val="32"/>
          <w:rtl/>
        </w:rPr>
        <w:t xml:space="preserve">1. هل توجد فروق دالة إحصائيًا بين القياسين القبلي والبعدي للمجموعة التجريبية في المتغيرات المتداولة لصالح القياس البعدي؟</w:t>
      </w:r>
    </w:p>
    <w:p>
      <w:pPr>
        <w:bidi/>
        <w:spacing w:after="120" w:before="0" w:line="360" w:lineRule="atLeast"/>
        <w:jc w:val="start"/>
      </w:pPr>
      <w:r>
        <w:rPr>
          <w:rFonts w:ascii="Times New Roman" w:cs="Traditional Arabic" w:hAnsi="Times New Roman"/>
          <w:b w:val="false"/>
          <w:bCs w:val="false"/>
          <w:i w:val="false"/>
          <w:iCs w:val="false"/>
          <w:color w:val="000000"/>
          <w:sz w:val="32"/>
          <w:szCs w:val="32"/>
          <w:rtl/>
        </w:rPr>
        <w:t xml:space="preserve">2. هل توجد فروق دالة إحصائيًا بين المجموعة التجريبية والمجموعة الضابطة في القياس البعدي لجميع المتغيرات؟</w:t>
      </w:r>
    </w:p>
    <w:p>
      <w:pPr>
        <w:bidi/>
        <w:spacing w:after="120" w:before="0" w:line="360" w:lineRule="atLeast"/>
        <w:jc w:val="start"/>
      </w:pPr>
      <w:r>
        <w:rPr>
          <w:rFonts w:ascii="Times New Roman" w:cs="Traditional Arabic" w:hAnsi="Times New Roman"/>
          <w:b w:val="false"/>
          <w:bCs w:val="false"/>
          <w:i w:val="false"/>
          <w:iCs w:val="false"/>
          <w:color w:val="000000"/>
          <w:sz w:val="32"/>
          <w:szCs w:val="32"/>
          <w:rtl/>
        </w:rPr>
        <w:t xml:space="preserve">3. هل تطرأ تغيرات دالة على مؤشرات المجموعة الضابطة خلال الفترة نفسها دون تدخل تدريبي؟</w:t>
      </w:r>
    </w:p>
    <w:p>
      <w:pPr>
        <w:pStyle w:val="Heading2"/>
        <w:bidi/>
        <w:spacing w:after="200" w:before="360" w:line="420" w:lineRule="atLeast"/>
        <w:jc w:val="start"/>
      </w:pPr>
      <w:bookmarkStart w:id="100003" w:name="_Toc100003"/>
      <w:r>
        <w:rPr>
          <w:rFonts w:ascii="Times New Roman" w:cs="Simplified Arabic" w:hAnsi="Times New Roman"/>
          <w:b/>
          <w:bCs/>
          <w:i w:val="false"/>
          <w:iCs w:val="false"/>
          <w:color w:val="000000"/>
          <w:sz w:val="32"/>
          <w:szCs w:val="32"/>
          <w:rtl/>
        </w:rPr>
        <w:t xml:space="preserve">فرضيات الدراسة</w:t>
      </w:r>
      <w:bookmarkEnd w:id="100003"/>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اختبرت الدراسة الفرضيات الآتية عند مستوى دلالة 0.05 استنادًا إلى نتائج الدراسات المحكية في هذا الميدان (Holten et al., 2004; Umpierre et al., 2011):</w:t>
      </w:r>
    </w:p>
    <w:p>
      <w:pPr>
        <w:bidi/>
        <w:spacing w:after="120" w:before="0" w:line="360" w:lineRule="atLeast"/>
        <w:jc w:val="start"/>
      </w:pPr>
      <w:r>
        <w:rPr>
          <w:rFonts w:ascii="Times New Roman" w:cs="Traditional Arabic" w:hAnsi="Times New Roman"/>
          <w:b w:val="false"/>
          <w:bCs w:val="false"/>
          <w:i w:val="false"/>
          <w:iCs w:val="false"/>
          <w:color w:val="000000"/>
          <w:sz w:val="32"/>
          <w:szCs w:val="32"/>
          <w:rtl/>
        </w:rPr>
        <w:t xml:space="preserve">1. توجد فروق دالة إحصائيًا بين متوسطي القياسين القبلي والبعدي للمجموعة التجريبية في السكر التراكمي والسكر الصائم ومقاومة الإنسولين لصالح القياس البعدي.</w:t>
      </w:r>
    </w:p>
    <w:p>
      <w:pPr>
        <w:bidi/>
        <w:spacing w:after="120" w:before="0" w:line="360" w:lineRule="atLeast"/>
        <w:jc w:val="start"/>
      </w:pPr>
      <w:r>
        <w:rPr>
          <w:rFonts w:ascii="Times New Roman" w:cs="Traditional Arabic" w:hAnsi="Times New Roman"/>
          <w:b w:val="false"/>
          <w:bCs w:val="false"/>
          <w:i w:val="false"/>
          <w:iCs w:val="false"/>
          <w:color w:val="000000"/>
          <w:sz w:val="32"/>
          <w:szCs w:val="32"/>
          <w:rtl/>
        </w:rPr>
        <w:t xml:space="preserve">2. توجد فروق دالة إحصائيًا بين المجموعة التجريبية والضابطة في القياس البعدي في جميع المؤشرات الحيوية والعضلية لصالح التجريبية.</w:t>
      </w:r>
    </w:p>
    <w:p>
      <w:pPr>
        <w:bidi/>
        <w:spacing w:after="120" w:before="0" w:line="360" w:lineRule="atLeast"/>
        <w:jc w:val="start"/>
      </w:pPr>
      <w:r>
        <w:rPr>
          <w:rFonts w:ascii="Times New Roman" w:cs="Traditional Arabic" w:hAnsi="Times New Roman"/>
          <w:b w:val="false"/>
          <w:bCs w:val="false"/>
          <w:i w:val="false"/>
          <w:iCs w:val="false"/>
          <w:color w:val="000000"/>
          <w:sz w:val="32"/>
          <w:szCs w:val="32"/>
          <w:rtl/>
        </w:rPr>
        <w:t xml:space="preserve">3. لا توجد فروق دالة إحصائيًا بين القياسين القبلي والبعدي للمجموعة الضابطة في المتغيرات نفسها خلال فترة التطبيق.</w:t>
      </w:r>
    </w:p>
    <w:p>
      <w:pPr>
        <w:pStyle w:val="Heading2"/>
        <w:bidi/>
        <w:spacing w:after="200" w:before="360" w:line="420" w:lineRule="atLeast"/>
        <w:jc w:val="start"/>
      </w:pPr>
      <w:bookmarkStart w:id="100004" w:name="_Toc100004"/>
      <w:r>
        <w:rPr>
          <w:rFonts w:ascii="Times New Roman" w:cs="Simplified Arabic" w:hAnsi="Times New Roman"/>
          <w:b/>
          <w:bCs/>
          <w:i w:val="false"/>
          <w:iCs w:val="false"/>
          <w:color w:val="000000"/>
          <w:sz w:val="32"/>
          <w:szCs w:val="32"/>
          <w:rtl/>
        </w:rPr>
        <w:t xml:space="preserve">أهمية الدراسة وأهدافها</w:t>
      </w:r>
      <w:bookmarkEnd w:id="10000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تكتسب الدراسة أهميتها العلمية من إثراء المكتبة العربية بدراسة تجريبية ميدانية مضبوطة في فسيولوجيا التمارين لدى الفئات الخاصة، بعد أن ظلت أغلب ما ينشر في هذا الميدان مراجعات نظرية أو ترجمات للأدبيات الأجنبية. أما أهميتها التطبيقية فتنبع من تقديم برنامج تدريبي جاهز مضبوط الجرعة يمكن لأخصائيي المعالجة الرياضية والمراكز الصحية تبنيه مباشرة، مع دليل ميداني على أمانه وفعاليته لدى مرضى بلغوا من العمر ستين عامًا. كما أن نجاح التجربة يفتح الطريق أمام دمج التمارين المبرمجة ضمن بروتوكولات الرعاية الروتينية لمرضى السكري بدلًا من الاكتفاء بالتوصيات العامة.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وسعت الدراسة إلى تحقيق خمسة أهداف رئيسة: أولها تصميم برنامج تدريبي مدمج يجمع الجهد البدني الهوائي مع الجهد العضلي المقاوم وفق معايير السلامة الطبية، وثانيها قياس أثره في السكر التراكمي والسكر الصائم، وثالثها الكشف عن أثره في مقاومة الإنسولين المحسوبة بمؤشر HOMA-IR، ورابعها رصد تطور القوة العضلية ومؤشر كتلة الجسم خلال اثني عشر أسبوعًا، وخامسها صياغة توصيات تطبيقية تدعم إدماج التمارين في خطط الرعاية الصحية.</w:t>
      </w:r>
    </w:p>
    <w:p>
      <w:pPr>
        <w:pStyle w:val="Heading2"/>
        <w:bidi/>
        <w:spacing w:after="200" w:before="360" w:line="420" w:lineRule="atLeast"/>
        <w:jc w:val="start"/>
      </w:pPr>
      <w:bookmarkStart w:id="100005" w:name="_Toc100005"/>
      <w:r>
        <w:rPr>
          <w:rFonts w:ascii="Times New Roman" w:cs="Simplified Arabic" w:hAnsi="Times New Roman"/>
          <w:b/>
          <w:bCs/>
          <w:i w:val="false"/>
          <w:iCs w:val="false"/>
          <w:color w:val="000000"/>
          <w:sz w:val="32"/>
          <w:szCs w:val="32"/>
          <w:rtl/>
        </w:rPr>
        <w:t xml:space="preserve">مصطلحات الدراسة وحدودها</w:t>
      </w:r>
      <w:bookmarkEnd w:id="10000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الجهد البدني: الأحمال الهوائية المضبوطة الشدة والزمن التي أدى بها أفراد المجموعة التجريبية في الحصص التدريبية، ويقابلها مشي متسارع ودراجة ثابتة بنسبة 40 إلى 60 في المائة من الاحتياطي القلبي. والجهد العضلي: أحمال المقاومة التي طبقت على المجموعات العضلية الكبرى بنسب محددة من الحد الأقصى وبمجموعات وتكرارات مخططة سلفًا. ومرض السكري النمط الثاني: الاضطراب الأيضي المزمن الذي يتسم بمقاومة الأنسجة للإنسولين وارتفاع مزمن في جلوكوز الدم. والسكر التراكمي: مؤشر يعكس متوسط تركيز الجلوكوز الدموي خلال الشهرين إلى الثلاثة أشهر السابقة للفحص، ويعد المعيار الذهبي لتقويم جودة الضبط glycemic control.</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وتنحصر حدود الدراسة في المكان، إذ جرى التطبيق والقياس في العيادة المرجعية وقاعة التدريب التابعة لها خلال الفترة من فبراير إلى مايو 2026، وفي الزمن بمدة تجربة قدرها اثنا عشر أسبوعًا بواقع ثلاث حصص أسبوعية، وفي الفئة البشرية بمرضى النمط الثاني من كلا الجنسين وأعمارهم بين 40 و60 عامًا، وفي الموضوع بقياس المؤشرات الحيوية والعضلية المذكورة دون غيرها، وهو ما يحد من تعميم النتائج خارج هذه الشروط.</w:t>
      </w:r>
    </w:p>
    <w:p>
      <w:pPr>
        <w:pStyle w:val="Heading1"/>
        <w:bidi/>
        <w:spacing w:after="300" w:before="480" w:line="460" w:lineRule="atLeast"/>
        <w:jc w:val="center"/>
      </w:pPr>
      <w:bookmarkStart w:id="100006" w:name="_Toc100006"/>
      <w:r>
        <w:rPr>
          <w:rFonts w:ascii="Times New Roman" w:cs="Simplified Arabic" w:hAnsi="Times New Roman"/>
          <w:b/>
          <w:bCs/>
          <w:i w:val="false"/>
          <w:iCs w:val="false"/>
          <w:color w:val="000000"/>
          <w:sz w:val="36"/>
          <w:szCs w:val="36"/>
          <w:rtl/>
        </w:rPr>
        <w:t xml:space="preserve">الفصل الثاني: الإطار النظري والدراسات السابقة</w:t>
      </w:r>
      <w:bookmarkEnd w:id="100006"/>
    </w:p>
    <w:p>
      <w:pPr>
        <w:pStyle w:val="Heading2"/>
        <w:bidi/>
        <w:spacing w:after="200" w:before="360" w:line="420" w:lineRule="atLeast"/>
        <w:jc w:val="start"/>
      </w:pPr>
      <w:bookmarkStart w:id="100007" w:name="_Toc100007"/>
      <w:r>
        <w:rPr>
          <w:rFonts w:ascii="Times New Roman" w:cs="Simplified Arabic" w:hAnsi="Times New Roman"/>
          <w:b/>
          <w:bCs/>
          <w:i w:val="false"/>
          <w:iCs w:val="false"/>
          <w:color w:val="000000"/>
          <w:sz w:val="32"/>
          <w:szCs w:val="32"/>
          <w:rtl/>
        </w:rPr>
        <w:t xml:space="preserve">المبحث الأول: مرض السكري النمط الثاني: طبيعته ومضاعفاته ومداخل التعامل معه</w:t>
      </w:r>
      <w:bookmarkEnd w:id="10000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يُعرَّف سكري النمط الثاني بأنه اضطراب أيضي مزمن تتصاعد فيه مقاومة الأنسجة لأثر الإنسولين، فيرتفع جلوكوز الدم تدريجيًا، ثم ينهار احتياطي الإفراز لدى خلايا بيتا البنكرياسية تحت عبء العمل الممتد. ويتطور المرض على مدى سنوات بصورة صامتة، ويكتشف كثير من المرضى حالتهم مصادفةً أثناء فحوص روتينية، وعندها تكون بعض المضاعفات قد بدأت تتكشف على الجهاز القلبي الوعائي والكليتين والشبكية والأعصاب الطرفية، وهو ما يجعله من أكبر أسباب الاعتلال والوفاة المزمنة عالميًا وقاعدة أساسية لمضاعفات القلب والفشل الكلوي وبتر الأطراف.</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ويقوم التعامل مع المرض على ثلاثية متكاملة: تعديل نمط الحياة، والعلاج الدوائي، والمتابعة الدورية لمؤشرات الضبط. وتؤكد الأدبيات أن ركيزة نمط الحياة هي الأقل تكلفة والأوسع فائدة إذا نُفذت بجودة عالية والتزام مستمر (Zahalka et al., 2025)، وأن تدخل الحياة المكثف خفض معدل الإصابة بالسكري لدى الفئة المعرضة بنسبة 58 في المائة في دراسة البرنامج الوقائي الأمريكية (Diabetes Prevention Program Research Group, 2002). ومن هنا جاء توجيه الدراسة نحو بناء ركيزة الحياة هذه على أساس تدريبي علمي مضبوط بدل النصائح الإرشادية العامة.</w:t>
      </w:r>
    </w:p>
    <w:p>
      <w:pPr>
        <w:pStyle w:val="Heading2"/>
        <w:bidi/>
        <w:spacing w:after="200" w:before="360" w:line="420" w:lineRule="atLeast"/>
        <w:jc w:val="start"/>
      </w:pPr>
      <w:bookmarkStart w:id="100008" w:name="_Toc100008"/>
      <w:r>
        <w:rPr>
          <w:rFonts w:ascii="Times New Roman" w:cs="Simplified Arabic" w:hAnsi="Times New Roman"/>
          <w:b/>
          <w:bCs/>
          <w:i w:val="false"/>
          <w:iCs w:val="false"/>
          <w:color w:val="000000"/>
          <w:sz w:val="32"/>
          <w:szCs w:val="32"/>
          <w:rtl/>
        </w:rPr>
        <w:t xml:space="preserve">المبحث الثاني: الجهد البدني والعضلي: الأسس الفسيولوجية والتطبيق التدريبي</w:t>
      </w:r>
      <w:bookmarkEnd w:id="100008"/>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ينتج أثر التمرين في ضبط السكر من آليتين متكاملتين. تعمل الأولى أثناء الجهد الهوائي، إذ يستهلك العضل الجلوكوز عبر مسار نقل مستقل عن الإنسولين يرتبط بانتقال ناقل GLUT4 من مخازنه الداخلية إلى غشاء الخلية، فينخفض السكر الدموي مباشرة خلال الحصة وبعدها بساعات. وتعمل الثانية على المدى الطويل مع التدريب المقاوم المنتظم، حيث تتحسن سلسلة إشارات الإنسولين داخل الخلية العضلية وترتفع كتلة العضلة المستهلكة للجلوكوز، وقد وُثق ذلك تجريبيًا بزيادة نقل الجلوكوز بوساطة الإنسولين ومحتوى GLUT4 لدى مرضى النمط الثاني بعد برنامج قوة (Holten et al., 2004).</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وعلى مستوى الجرعة، توصي البيانات المحدثة بمجموع لا يقل عن 150 دقيقة أسبوعيًا من النشاط الهوائي المعتدل موزعًا على أيام غير متتالية، مع جلستين إلى ثلاث جلسات مقاومة أسبوعيًا تغطيان المجموعات العضلية الكبرى (Colberg et al., 2010; Kanaley et al., 2016). وقد أظهرت المراجعة الشاملة المنشورة في دورية الجمعية الطبية الأمريكية أن البرامج المنظمة التي تتجاوز هذا الحد تخفض السكر التراكمي بمتوسط يقارب 0.67 في المائة، وأن حصص التدريب المدمج التي تجمع النمطين في الوحدة الواحدة تحقق أعلى انخفاض (Umpierre et al., 2011)، وهو التوجيه الذي اعتمدته هذه الدراسة أساسًا لتصميم برنامجها.</w:t>
      </w:r>
    </w:p>
    <w:p>
      <w:pPr>
        <w:pStyle w:val="Heading2"/>
        <w:bidi/>
        <w:spacing w:after="200" w:before="360" w:line="420" w:lineRule="atLeast"/>
        <w:jc w:val="start"/>
      </w:pPr>
      <w:bookmarkStart w:id="100009" w:name="_Toc100009"/>
      <w:r>
        <w:rPr>
          <w:rFonts w:ascii="Times New Roman" w:cs="Simplified Arabic" w:hAnsi="Times New Roman"/>
          <w:b/>
          <w:bCs/>
          <w:i w:val="false"/>
          <w:iCs w:val="false"/>
          <w:color w:val="000000"/>
          <w:sz w:val="32"/>
          <w:szCs w:val="32"/>
          <w:rtl/>
        </w:rPr>
        <w:t xml:space="preserve">المبحث الثالث: الدراسات السابقة والتعقيب عليها</w:t>
      </w:r>
      <w:bookmarkEnd w:id="100009"/>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تعددت الدراسات التي تناولت أثر التدريب المنظم لدى مرضى النمط الثاني. ففي الميدان العربي، أثبتت دراسة الكيتاني على مصابات السكري في سلطنة عمان أن برنامجًا هوائيًا مقترحًا خفض السكر التراكمي ومقاومة الإنسولين بفروق دالة، كما أكدت دراسة البرنامج الترويحي المنشورة على منصة المتميز دور التدريب المنظم في تنظيم سكر الدم والأنسولين. وفي الميدان الأجنبي، رصدت دراسة رامزاني أن الأنماط المتقطعة عالية الشدة تظهر أسرع تأثير خافض للسكر، وأظهرت مراجعة أومبير وزملائه تفوق البرامج المنظمة على الإرشاد الشفهي وحده، بينما ربطت دراسة نيمان أثر تدريب المقاومة في مقاومة الإنسولين بتغيرات تكوين الجسم (Niemann et al., 2020).</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ويتضح من مجموع هذه الدراسات أن الفجوة البحثية العربية تكمن في قلة العمل الميداني الذي يجمع النمطين الهوائي والمقاوم في برنامج واحد مضبوط، ومنظومة قياس حيوية وعضلية متكاملة، ومجموعة ضابطة تسمح بعزل أثر التدخل. وقد سعت هذه الأطروحة إلى سد الفجوة من خلال تصميم شبه تجريبي بمجموعتين وقياسين قبلي وبعدي، مع الالتزام بحدود الجرعة التدريبية التي أجمعت عليها البيانات الدولية، بما يسمح بمقارنة النتائج المحلية بالمرجعيات العالمية مباشرة.</w:t>
      </w:r>
    </w:p>
    <w:p>
      <w:pPr>
        <w:pStyle w:val="Heading1"/>
        <w:bidi/>
        <w:spacing w:after="300" w:before="480" w:line="460" w:lineRule="atLeast"/>
        <w:jc w:val="center"/>
      </w:pPr>
      <w:bookmarkStart w:id="100010" w:name="_Toc100010"/>
      <w:r>
        <w:rPr>
          <w:rFonts w:ascii="Times New Roman" w:cs="Simplified Arabic" w:hAnsi="Times New Roman"/>
          <w:b/>
          <w:bCs/>
          <w:i w:val="false"/>
          <w:iCs w:val="false"/>
          <w:color w:val="000000"/>
          <w:sz w:val="36"/>
          <w:szCs w:val="36"/>
          <w:rtl/>
        </w:rPr>
        <w:t xml:space="preserve">الفصل الثالث: إجراءات الدراسة</w:t>
      </w:r>
      <w:bookmarkEnd w:id="100010"/>
    </w:p>
    <w:p>
      <w:pPr>
        <w:pStyle w:val="Heading2"/>
        <w:bidi/>
        <w:spacing w:after="200" w:before="360" w:line="420" w:lineRule="atLeast"/>
        <w:jc w:val="start"/>
      </w:pPr>
      <w:bookmarkStart w:id="100011" w:name="_Toc100011"/>
      <w:r>
        <w:rPr>
          <w:rFonts w:ascii="Times New Roman" w:cs="Simplified Arabic" w:hAnsi="Times New Roman"/>
          <w:b/>
          <w:bCs/>
          <w:i w:val="false"/>
          <w:iCs w:val="false"/>
          <w:color w:val="000000"/>
          <w:sz w:val="32"/>
          <w:szCs w:val="32"/>
          <w:rtl/>
        </w:rPr>
        <w:t xml:space="preserve">المنهج المتبع</w:t>
      </w:r>
      <w:bookmarkEnd w:id="10001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اعتمدت الدراسة المنهج شبه التجريبي بتصميم المجموعتين والقياسين القبلي والبعدي، لملاءمته طبيعة الدراسات التدريبية الميدانية التي يصعب فيها الإحالة العشوائية الكاملة للأفراد لأسباب صحية وأخلاقية. ويقوم التصميم على ضبط المتغير المستقل المتمثل في البرنامج التدريبي المدمج، ورصد أثره في المتغيرات التابعة، مع تثبيت جرعات الأدوية لدى جميع المشاركين طوال التجربة بموجب تقرير طبي موثق، وهو شرط منهجي أكدته البيانات العلمية ضرورةً لعزل أثر التدريب عن التداخل الدوائي (Colberg et al., 2010).</w:t>
      </w:r>
    </w:p>
    <w:p>
      <w:pPr>
        <w:pStyle w:val="Heading2"/>
        <w:bidi/>
        <w:spacing w:after="200" w:before="360" w:line="420" w:lineRule="atLeast"/>
        <w:jc w:val="start"/>
      </w:pPr>
      <w:bookmarkStart w:id="100012" w:name="_Toc100012"/>
      <w:r>
        <w:rPr>
          <w:rFonts w:ascii="Times New Roman" w:cs="Simplified Arabic" w:hAnsi="Times New Roman"/>
          <w:b/>
          <w:bCs/>
          <w:i w:val="false"/>
          <w:iCs w:val="false"/>
          <w:color w:val="000000"/>
          <w:sz w:val="32"/>
          <w:szCs w:val="32"/>
          <w:rtl/>
        </w:rPr>
        <w:t xml:space="preserve">مجتمع الدراسة وعينتها</w:t>
      </w:r>
      <w:bookmarkEnd w:id="10001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تكون مجتمع الدراسة من مرضى السكري النمط الثاني الملتحقين بالعيادة المرجعية خلال فترة التطبيق، واستُخرجت العينة بقصدية بواقع 30 مريضًا (18 ذكرًا و12 أنثى) استوفوا شروط الاشتراك: تشخيص طبي مثبت للمرض منذ عامين على الأقل، واستقرار الجرعات الدوائية أربعة أسابيع قبل التجربة، وغياب المضاعفات المانعة للجهد المعتدل، وموافقة طبية وموافقة مستنيرة موقعة. وزُع الأفراد عشوائيًا على مجموعة تجريبية تتلقى البرنامج التدريبي ومجموعة ضابطة تحافظ على نمط حياتها، ولم يُسجل أي انسحاب طوال اثني عشر أسبوعًا، وبذلك عولجت بيانات الأفراد الثلاثين جميعًا.</w:t>
      </w:r>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(1): توصيف عينة الدراسة في القياس القبلي (م ± ع)</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2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المجموعة</w:t>
            </w:r>
          </w:p>
        </w:tc>
        <w:tc>
          <w:tcPr>
            <w:tcW w:type="pct" w:w="12%"/>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العدد</w:t>
            </w:r>
          </w:p>
        </w:tc>
        <w:tc>
          <w:tcPr>
            <w:tcW w:type="pct" w:w="22%"/>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العمر (سنة)</w:t>
            </w:r>
          </w:p>
        </w:tc>
        <w:tc>
          <w:tcPr>
            <w:tcW w:type="pct" w:w="23%"/>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مدة الإصابة (سنة)</w:t>
            </w:r>
          </w:p>
        </w:tc>
        <w:tc>
          <w:tcPr>
            <w:tcW w:type="pct" w:w="23%"/>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الوزن (كجم)</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التجريبية</w:t>
            </w:r>
          </w:p>
        </w:tc>
        <w:tc>
          <w:tcPr>
            <w:tcW w:type="pct" w:w="1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15</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51.3 ± 6.2</w:t>
            </w:r>
          </w:p>
        </w:tc>
        <w:tc>
          <w:tcPr>
            <w:tcW w:type="pct" w:w="2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5.8 ± 2.1</w:t>
            </w:r>
          </w:p>
        </w:tc>
        <w:tc>
          <w:tcPr>
            <w:tcW w:type="pct" w:w="2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84.2 ± 9.5</w:t>
            </w:r>
          </w:p>
        </w:tc>
      </w:tr>
      <w:tr>
        <w:trPr>
          <w:cantSplit/>
        </w:trPr>
        <w:tc>
          <w:tcPr>
            <w:tcW w:type="pct" w:w="2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الضابطة</w:t>
            </w:r>
          </w:p>
        </w:tc>
        <w:tc>
          <w:tcPr>
            <w:tcW w:type="pct" w:w="1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15</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50.7 ± 6.8</w:t>
            </w:r>
          </w:p>
        </w:tc>
        <w:tc>
          <w:tcPr>
            <w:tcW w:type="pct" w:w="2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5.5 ± 2.4</w:t>
            </w:r>
          </w:p>
        </w:tc>
        <w:tc>
          <w:tcPr>
            <w:tcW w:type="pct" w:w="23%"/>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83.6 ± 9.1</w:t>
            </w:r>
          </w:p>
        </w:tc>
      </w:tr>
    </w:tbl>
    <w:p>
      <w:pPr>
        <w:bidi/>
        <w:spacing w:after="120" w:before="120" w:line="360" w:lineRule="atLeast"/>
        <w:ind w:firstLine="480"/>
        <w:jc w:val="both"/>
      </w:pPr>
      <w:r>
        <w:rPr>
          <w:rFonts w:ascii="Times New Roman" w:cs="Traditional Arabic" w:hAnsi="Times New Roman"/>
          <w:b w:val="false"/>
          <w:bCs w:val="false"/>
          <w:i w:val="false"/>
          <w:iCs w:val="false"/>
          <w:color w:val="000000"/>
          <w:sz w:val="32"/>
          <w:szCs w:val="32"/>
          <w:rtl/>
        </w:rPr>
        <w:t xml:space="preserve">ويتبين من الجدول أن المجموعتين متكافئتان في جميع الخصائص التوصيفية، إذ لم تتجاوز الفروق بينهما في العمر ومدة الإصابة والوزن حدود التذبذب الطبيعي، وهو ما يرجح أن أي فرق يظهر في القياس البعدي يعزى إلى أثر البرنامج التدريبي لا إلى اختلاف خصائص المجموعتين.</w:t>
      </w:r>
    </w:p>
    <w:p>
      <w:pPr>
        <w:pStyle w:val="Heading2"/>
        <w:bidi/>
        <w:spacing w:after="200" w:before="360" w:line="420" w:lineRule="atLeast"/>
        <w:jc w:val="start"/>
      </w:pPr>
      <w:bookmarkStart w:id="100013" w:name="_Toc100013"/>
      <w:r>
        <w:rPr>
          <w:rFonts w:ascii="Times New Roman" w:cs="Simplified Arabic" w:hAnsi="Times New Roman"/>
          <w:b/>
          <w:bCs/>
          <w:i w:val="false"/>
          <w:iCs w:val="false"/>
          <w:color w:val="000000"/>
          <w:sz w:val="32"/>
          <w:szCs w:val="32"/>
          <w:rtl/>
        </w:rPr>
        <w:t xml:space="preserve">أدوات جمع البيانات وأماكنها</w:t>
      </w:r>
      <w:bookmarkEnd w:id="100013"/>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استخدمت الدراسة منظومة قياس متكاملة جرى تنفيذها جميعًا في مختبر معتمد واحد وقاعة تدريب مجهزة: سحب عينات دم وريدية صائمة لتحليل السكر التراكمي والسكر الصائم والإنسولين الصائمي وحساب مقاومة الإنسولين بمؤشر HOMA-IR، ومقياس دينامومتر يدوي لتقدير القوة العضلية لقبضة اليد بثلاث محاولات يؤخذ أفضلها، وأجهزة معايرة لقياس الطول والوزن وحساب مؤشر كتلة الجسم، وساعة نبض لضبط شدة الحصص التدريبية لحظة بلحظة. وجرى التحقق من صدق المنظومة بعرضها على محكمين متخصصين في فسيولوجيا الجهد والطب الرياضي، مع تكرار التحاليل المخبرية في القياسين ضمن المختبر نفسه لضمان ثبات شروط القياس.</w:t>
      </w:r>
    </w:p>
    <w:p>
      <w:pPr>
        <w:pStyle w:val="Heading2"/>
        <w:bidi/>
        <w:spacing w:after="200" w:before="360" w:line="420" w:lineRule="atLeast"/>
        <w:jc w:val="start"/>
      </w:pPr>
      <w:bookmarkStart w:id="100014" w:name="_Toc100014"/>
      <w:r>
        <w:rPr>
          <w:rFonts w:ascii="Times New Roman" w:cs="Simplified Arabic" w:hAnsi="Times New Roman"/>
          <w:b/>
          <w:bCs/>
          <w:i w:val="false"/>
          <w:iCs w:val="false"/>
          <w:color w:val="000000"/>
          <w:sz w:val="32"/>
          <w:szCs w:val="32"/>
          <w:rtl/>
        </w:rPr>
        <w:t xml:space="preserve">البرنامج التدريبي المدمج</w:t>
      </w:r>
      <w:bookmarkEnd w:id="10001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امتد البرنامج اثني عشر أسبوعًا بواقع ثلاث حصص أسبوعية غير متتالية، بواقع 50 إلى 55 دقيقة للحصة تنقسم إلى إحماء عام عشر دقائق، وجزء رئيس 30 إلى 35 دقيقة، وتعافٍ تدريجي عشر دقائق. واعتمد الجزء الرئيس في الأسابيع الأولى على حصتين هوائيتين بنسبة 40 إلى 55 في المائة من الاحتياطي القلبي وحصة مقاومة تغطي المجموعات العضلية الكبرى بنسبة 40 إلى 60 في المائة من الحد الأقصى بمجموعتين إلى ثلاث مجموعات من 10 إلى 15 تكرارًا، ثم تحول تدريجيًا في الثلث الأخير إلى حصص مدمجة تجمع النمطين في الوحدة الواحدة عشر دقائق هوائيًا ثم عشر دقائق مقاومة بالتناوب، بما يتوافق مع التوجيهات الدولية في الجرعة الأسبوعية (150 دقيقة فأكثر). ورُوعي في الصعود التدريبي مبدأ الزيادة التدريجية مع مراقبة أعراض هبوط السكر قبل الحصة وبعدها، وتوثيق كل حصة في سجل رسمي موحد.</w:t>
      </w:r>
    </w:p>
    <w:p>
      <w:pPr>
        <w:pStyle w:val="Heading2"/>
        <w:bidi/>
        <w:spacing w:after="200" w:before="360" w:line="420" w:lineRule="atLeast"/>
        <w:jc w:val="start"/>
      </w:pPr>
      <w:bookmarkStart w:id="100015" w:name="_Toc100015"/>
      <w:r>
        <w:rPr>
          <w:rFonts w:ascii="Times New Roman" w:cs="Simplified Arabic" w:hAnsi="Times New Roman"/>
          <w:b/>
          <w:bCs/>
          <w:i w:val="false"/>
          <w:iCs w:val="false"/>
          <w:color w:val="000000"/>
          <w:sz w:val="32"/>
          <w:szCs w:val="32"/>
          <w:rtl/>
        </w:rPr>
        <w:t xml:space="preserve">الإجراءات الإحصائية</w:t>
      </w:r>
      <w:bookmarkEnd w:id="100015"/>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عولجت البيانات باستخدام الحزمة الإحصائية للعلوم الاجتماعية SPSS بحساب المتوسطات الحسابية والانحرافات المعيارية لوصف مستويات المتغيرات، واختبار (ت) للعينات المرتبطة لفحص الفروق داخل المجموعة الواحدة بين القياسين، واختبار (ت) للعينات المستقلة لفحص الفروق بين المجموعتين في القياس البعدي، عند مستوى دلالة 0.05. كما احتُسب حجم الأثر للفروق الدالة لترجمة الدلالة الإحصائية إلى معنى عملي، وقُدمت النتائج في جداول إحصائية تعقبها قراءة تحليلية تربط الأرقام بالمضمون الفسيولوجي والتطبيقي.</w:t>
      </w:r>
    </w:p>
    <w:p>
      <w:pPr>
        <w:pStyle w:val="Heading1"/>
        <w:bidi/>
        <w:spacing w:after="300" w:before="480" w:line="460" w:lineRule="atLeast"/>
        <w:jc w:val="center"/>
      </w:pPr>
      <w:bookmarkStart w:id="100016" w:name="_Toc100016"/>
      <w:r>
        <w:rPr>
          <w:rFonts w:ascii="Times New Roman" w:cs="Simplified Arabic" w:hAnsi="Times New Roman"/>
          <w:b/>
          <w:bCs/>
          <w:i w:val="false"/>
          <w:iCs w:val="false"/>
          <w:color w:val="000000"/>
          <w:sz w:val="36"/>
          <w:szCs w:val="36"/>
          <w:rtl/>
        </w:rPr>
        <w:t xml:space="preserve">الفصل الرابع: عرض النتائج وتحليلها</w:t>
      </w:r>
      <w:bookmarkEnd w:id="100016"/>
    </w:p>
    <w:p>
      <w:pPr>
        <w:pStyle w:val="Heading2"/>
        <w:bidi/>
        <w:spacing w:after="200" w:before="360" w:line="420" w:lineRule="atLeast"/>
        <w:jc w:val="start"/>
      </w:pPr>
      <w:bookmarkStart w:id="100017" w:name="_Toc100017"/>
      <w:r>
        <w:rPr>
          <w:rFonts w:ascii="Times New Roman" w:cs="Simplified Arabic" w:hAnsi="Times New Roman"/>
          <w:b/>
          <w:bCs/>
          <w:i w:val="false"/>
          <w:iCs w:val="false"/>
          <w:color w:val="000000"/>
          <w:sz w:val="32"/>
          <w:szCs w:val="32"/>
          <w:rtl/>
        </w:rPr>
        <w:t xml:space="preserve">تمهيد</w:t>
      </w:r>
      <w:bookmarkEnd w:id="10001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تعرض الفقرات الآتية نتائج الدراسة الميدانية في ثلاثة جداول: يقارن الأول القياسين القبلي والبعدي للمجموعة التجريبية، ويعرض الثاني مستوى تغيرات المجموعة الضابطة خلال الفترة نفسها، ويقارن الثالث المجموعتين في القياس البعدي. وتسبق كل مجموعة من البيانات جملة تعريفية بالجدول، وتعقبه قراءة تحليلية تربط قيمة (ت) ومستوى الدلالة بالمضمون الفسيولوجي، بحيث تكتمل حلقة العرض والتفسير في موضع واحد.</w:t>
      </w:r>
    </w:p>
    <w:p>
      <w:pPr>
        <w:pStyle w:val="Heading2"/>
        <w:bidi/>
        <w:spacing w:after="200" w:before="360" w:line="420" w:lineRule="atLeast"/>
        <w:jc w:val="start"/>
      </w:pPr>
      <w:bookmarkStart w:id="100018" w:name="_Toc100018"/>
      <w:r>
        <w:rPr>
          <w:rFonts w:ascii="Times New Roman" w:cs="Simplified Arabic" w:hAnsi="Times New Roman"/>
          <w:b/>
          <w:bCs/>
          <w:i w:val="false"/>
          <w:iCs w:val="false"/>
          <w:color w:val="000000"/>
          <w:sz w:val="32"/>
          <w:szCs w:val="32"/>
          <w:rtl/>
        </w:rPr>
        <w:t xml:space="preserve">نتائج المجموعة التجريبية</w:t>
      </w:r>
      <w:bookmarkEnd w:id="100018"/>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(2): المتوسطات والانحرافات المعيارية وقيمة (ت) بين القياسين القبلي والبعدي للمجموعة التجريبية</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3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المتغير</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قبلي (م ± ع)</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بعدي (م ± ع)</w:t>
            </w:r>
          </w:p>
        </w:tc>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قيمة (ت)</w:t>
            </w:r>
          </w:p>
        </w:tc>
        <w:tc>
          <w:tcPr>
            <w:tcW w:type="pct" w:w="18%"/>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التراكمي (%)</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8.42 ± 0.71</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7.63 ± 0.64</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6.87</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الصائم (ملغ/دل)</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178.5 ± 21.3</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141.2 ± 18.6</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7.42</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مقاومة الإنسولين HOMA-IR</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4.62 ± 0.85</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3.21 ± 0.69</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7.94</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القوة اليدوية (كجم)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27.8 ± 4.9</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31.9 ± 5.2</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5.63</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مؤشر كتلة الجسم (كجم/م2)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31.6 ± 2.7</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29.3 ± 2.5</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4.98</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bl>
    <w:p>
      <w:pPr>
        <w:bidi/>
        <w:spacing w:after="120" w:before="120" w:line="360" w:lineRule="atLeast"/>
        <w:ind w:firstLine="480"/>
        <w:jc w:val="both"/>
      </w:pPr>
      <w:r>
        <w:rPr>
          <w:rFonts w:ascii="Times New Roman" w:cs="Traditional Arabic" w:hAnsi="Times New Roman"/>
          <w:b w:val="false"/>
          <w:bCs w:val="false"/>
          <w:i w:val="false"/>
          <w:iCs w:val="false"/>
          <w:color w:val="000000"/>
          <w:sz w:val="32"/>
          <w:szCs w:val="32"/>
          <w:rtl/>
        </w:rPr>
        <w:t xml:space="preserve">يتضح من الجدول انخفاض دال في جميع المؤشرات الحيوية لصالح القياس البعدي، إذ هبط السكر التراكمي بمقدار 0.79 نقطة مئوية وهو ما يوازي انخفاضًا نسبيًا يقارب 9.4 في المائة، وتراجع السكر الصائم 37.3 ملغ/دل أي بمعدل 20.9 في المائة، وانخفضت مقاومة الإنسولين 30.5 في المائة. وعلى الصعيد العضلي، ارتفعت القوة اليدوية 4.1 كجم بمعدل تحسن 14.7 في المائة، وتراجع مؤشر كتلة الجسم 2.3 وحدة. وتتجاوز قيم (ت) المحسوبة قيمها الجدولية جميعها، مما يؤكد أن البرنامج التدريبي المدمج أحدث تكيفًا أيضيًا وعضليًا حقيقيًا تجاوز حدود التذبذب اليومي الطبيعي في القياسات.</w:t>
      </w:r>
    </w:p>
    <w:p>
      <w:pPr>
        <w:pStyle w:val="Heading2"/>
        <w:bidi/>
        <w:spacing w:after="200" w:before="360" w:line="420" w:lineRule="atLeast"/>
        <w:jc w:val="start"/>
      </w:pPr>
      <w:bookmarkStart w:id="100019" w:name="_Toc100019"/>
      <w:r>
        <w:rPr>
          <w:rFonts w:ascii="Times New Roman" w:cs="Simplified Arabic" w:hAnsi="Times New Roman"/>
          <w:b/>
          <w:bCs/>
          <w:i w:val="false"/>
          <w:iCs w:val="false"/>
          <w:color w:val="000000"/>
          <w:sz w:val="32"/>
          <w:szCs w:val="32"/>
          <w:rtl/>
        </w:rPr>
        <w:t xml:space="preserve">نتائج المجموعة الضابطة</w:t>
      </w:r>
      <w:bookmarkEnd w:id="100019"/>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(3): المتوسطات والانحرافات المعيارية وقيمة (ت) بين القياسين القبلي والبعدي للمجموعة الضابطة</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3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المتغير</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قبلي (م ± ع)</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بعدي (م ± ع)</w:t>
            </w:r>
          </w:p>
        </w:tc>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قيمة (ت)</w:t>
            </w:r>
          </w:p>
        </w:tc>
        <w:tc>
          <w:tcPr>
            <w:tcW w:type="pct" w:w="18%"/>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التراكمي (%)</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8.38 ± 0.66</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8.35 ± 0.69</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0.41</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غير دالة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الصائم (ملغ/دل)</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176.8 ± 20.5</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175.9 ± 20.8</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0.35</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غير دالة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مقاومة الإنسولين HOMA-IR</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4.51 ± 0.78</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4.55 ± 0.81</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0.52</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غير دالة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القوة اليدوية (كجم)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27.6 ± 4.7</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27.4 ± 4.8</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0.29</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غير دالة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مؤشر كتلة الجسم (كجم/م2)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31.4 ± 3.0</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31.4 ± 3.1</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0.18</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غير دالة</w:t>
            </w:r>
          </w:p>
        </w:tc>
      </w:tr>
    </w:tbl>
    <w:p>
      <w:pPr>
        <w:bidi/>
        <w:spacing w:after="120" w:before="120" w:line="360" w:lineRule="atLeast"/>
        <w:ind w:firstLine="480"/>
        <w:jc w:val="both"/>
      </w:pPr>
      <w:r>
        <w:rPr>
          <w:rFonts w:ascii="Times New Roman" w:cs="Traditional Arabic" w:hAnsi="Times New Roman"/>
          <w:b w:val="false"/>
          <w:bCs w:val="false"/>
          <w:i w:val="false"/>
          <w:iCs w:val="false"/>
          <w:color w:val="000000"/>
          <w:sz w:val="32"/>
          <w:szCs w:val="32"/>
          <w:rtl/>
        </w:rPr>
        <w:t xml:space="preserve">تؤكد بيانات المجموعة الضابطة ثبات مؤشراتها خلال الفترة نفسها التي طبق فيها البرنامج التدريبي، فلم تسجل أي من المتغيرات تغيرًا دالًا إحصائيًا، وتراوحت قيم (ت) بين 0.18 و0.52 وهي قيم بعيدة كل البعد عن الجدولية. ويعني ذلك أن استقرار الجرعات الدوائية وثبات نمط الحياة في هذه المجموعة لم يتيحا أي تحسن تلقائي في الضبط الجلايسيمي، وبالتالي يمكن عزو التحسن المرصود لدى المجموعة التجريبية إلى أثر التدخل التدريبي بوصفه المتغير الوحيد الذي اختلفت به المجموعتان.</w:t>
      </w:r>
    </w:p>
    <w:p>
      <w:pPr>
        <w:pStyle w:val="Heading2"/>
        <w:bidi/>
        <w:spacing w:after="200" w:before="360" w:line="420" w:lineRule="atLeast"/>
        <w:jc w:val="start"/>
      </w:pPr>
      <w:bookmarkStart w:id="100020" w:name="_Toc100020"/>
      <w:r>
        <w:rPr>
          <w:rFonts w:ascii="Times New Roman" w:cs="Simplified Arabic" w:hAnsi="Times New Roman"/>
          <w:b/>
          <w:bCs/>
          <w:i w:val="false"/>
          <w:iCs w:val="false"/>
          <w:color w:val="000000"/>
          <w:sz w:val="32"/>
          <w:szCs w:val="32"/>
          <w:rtl/>
        </w:rPr>
        <w:t xml:space="preserve">نتائج الفروق بين المجموعتين في القياس البعدي</w:t>
      </w:r>
      <w:bookmarkEnd w:id="100020"/>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(4): قيمة (ت) ودلالتها بين المجموعة التجريبية والضابطة في القياس البعدي</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tblGrid>
      <w:tr>
        <w:trPr>
          <w:cantSplit/>
          <w:tblHeader/>
        </w:trPr>
        <w:tc>
          <w:tcPr>
            <w:tcW w:type="pct" w:w="30%"/>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المتغير</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تجريبية (م ± ع)</w:t>
            </w:r>
          </w:p>
        </w:tc>
        <w:tc>
          <w:tcPr>
            <w:tcW w:type="pct" w:w="19%"/>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ضابطة (م ± ع)</w:t>
            </w:r>
          </w:p>
        </w:tc>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قيمة (ت)</w:t>
            </w:r>
          </w:p>
        </w:tc>
        <w:tc>
          <w:tcPr>
            <w:tcW w:type="pct" w:w="18%"/>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الدلالة</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التراكمي (%)</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7.63 ± 0.64</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8.35 ± 0.69</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2.93</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السكر الصائم (ملغ/دل)</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141.2 ± 18.6</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175.9 ± 20.8</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4.53</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مقاومة الإنسولين HOMA-IR</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3.21 ± 0.69</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4.55 ± 0.81</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4.78</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القوة اليدوية (كجم)</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31.9 ± 5.2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27.4 ± 4.8</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2.44</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r>
        <w:trPr>
          <w:cantSplit/>
        </w:trPr>
        <w:tc>
          <w:tcPr>
            <w:tcW w:type="pct" w:w="30%"/>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مؤشر كتلة الجسم (كجم/م2)</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29.3 ± 2.5</w:t>
            </w:r>
          </w:p>
        </w:tc>
        <w:tc>
          <w:tcPr>
            <w:tcW w:type="pct" w:w="19%"/>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31.4 ± 3.1</w:t>
            </w:r>
          </w:p>
        </w:tc>
        <w:tc>
          <w:tcPr>
            <w:tcW w:type="pct" w:w="1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2.12</w:t>
            </w:r>
          </w:p>
        </w:tc>
        <w:tc>
          <w:tcPr>
            <w:tcW w:type="pct" w:w="18%"/>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دالة عند 0.05</w:t>
            </w:r>
          </w:p>
        </w:tc>
      </w:tr>
    </w:tbl>
    <w:p>
      <w:pPr>
        <w:bidi/>
        <w:spacing w:after="120" w:before="120" w:line="360" w:lineRule="atLeast"/>
        <w:ind w:firstLine="480"/>
        <w:jc w:val="both"/>
      </w:pPr>
      <w:r>
        <w:rPr>
          <w:rFonts w:ascii="Times New Roman" w:cs="Traditional Arabic" w:hAnsi="Times New Roman"/>
          <w:b w:val="false"/>
          <w:bCs w:val="false"/>
          <w:i w:val="false"/>
          <w:iCs w:val="false"/>
          <w:color w:val="000000"/>
          <w:sz w:val="32"/>
          <w:szCs w:val="32"/>
          <w:rtl/>
        </w:rPr>
        <w:t xml:space="preserve">يكشف الجدول تفوق المجموعة التجريبية على الضابطة في القياس البعدي بفروق دالة في المتغيرات الخمسة جميعها، وقد كانت الفروق أوضح ما تكون في مؤشرات الضبط الجلايسيمي حيث بلغت قيمة (ت) 4.78 لمقاومة الإنسولين و4.53 للسكر الصائم، بينما حافظت مؤشرات التكوين الجسمي والقوة على دلالة تحسّنها بمقدار أقل نسبيًا وهو ما يتسق مع وتيرة التكيف العضلي التي تحتاج وقتًا أطول من التكيف الأيضي الحاد. وبذلك تتحقق فرضيات الدراسة الثلاث بكاملها: تحسن دال داخل التجريبية، وثبات داخل الضابطة، وتفوق دال للتجريبية على الضابطة.</w:t>
      </w:r>
    </w:p>
    <w:p>
      <w:pPr>
        <w:pStyle w:val="Heading1"/>
        <w:bidi/>
        <w:spacing w:after="300" w:before="480" w:line="460" w:lineRule="atLeast"/>
        <w:jc w:val="center"/>
      </w:pPr>
      <w:bookmarkStart w:id="100021" w:name="_Toc100021"/>
      <w:r>
        <w:rPr>
          <w:rFonts w:ascii="Times New Roman" w:cs="Simplified Arabic" w:hAnsi="Times New Roman"/>
          <w:b/>
          <w:bCs/>
          <w:i w:val="false"/>
          <w:iCs w:val="false"/>
          <w:color w:val="000000"/>
          <w:sz w:val="36"/>
          <w:szCs w:val="36"/>
          <w:rtl/>
        </w:rPr>
        <w:t xml:space="preserve">الفصل الخامس: المناقشة والاستنتاجات والتوصيات</w:t>
      </w:r>
      <w:bookmarkEnd w:id="100021"/>
    </w:p>
    <w:p>
      <w:pPr>
        <w:pStyle w:val="Heading2"/>
        <w:bidi/>
        <w:spacing w:after="200" w:before="360" w:line="420" w:lineRule="atLeast"/>
        <w:jc w:val="start"/>
      </w:pPr>
      <w:bookmarkStart w:id="100022" w:name="_Toc100022"/>
      <w:r>
        <w:rPr>
          <w:rFonts w:ascii="Times New Roman" w:cs="Simplified Arabic" w:hAnsi="Times New Roman"/>
          <w:b/>
          <w:bCs/>
          <w:i w:val="false"/>
          <w:iCs w:val="false"/>
          <w:color w:val="000000"/>
          <w:sz w:val="32"/>
          <w:szCs w:val="32"/>
          <w:rtl/>
        </w:rPr>
        <w:t xml:space="preserve">مناقشة النتائج</w:t>
      </w:r>
      <w:bookmarkEnd w:id="10002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تُقرأ نتيجة انخفاض السكر التراكمي لدى المجموعة التجريبية بمقدار 0.79 نقطة مئوية في ضوء الآليتين الفسيولوجيتين الموضحتين في الإطار النظري: الاستهلاك المعزز للجلوكوز أثناء الجهد الهوائي عبر المسار المستقل عن الإنسولين، وتحسين إشارات الإنسولين العضلية بعد التدريب المقاوم برفع محتوى ناقل GLUT4 (Holten et al., 2004). وتتطابق هذه النتيجة مع متوسط الانخفاض الذي رصدته مراجعة أومبير وزملائه للبرامج المنظمة (Umpierre et al., 2011)، بل تتجاوزه بقليل، ويفسر الباحث ذلك بتوحيد الحصص المدمجة في الثلث الأخير من البرنامج، وهو النمط الذي ربطت المراجعة ذاتها بأعلى مستويات الفائدة.</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أما انخفاض مقاومة الإنسولين بنسبة تقارب الثلث فيتناقش مع نتائج دراسة الكيتاني على المصابات في سلطنة عمان ونتائج نيمان حول وسيطية تغيرات تكوين الجسم (Niemann et al., 2020)، ويكتسب شرحه الفسيولوجي من تراجع محيط الدهون الحشوية المباشر بالوزن ومؤشر كتلة الجسم، ومن تحسن كفاءة النقل العضلي للجلوكوز بعد اثني عشر أسبوعًا من التحفيز المنتظم. أما تحسن القوة اليدوية بمعدل 14.7 في المائة فيفسر بمبدأ التكيف العصبي العضلي الذي يظهر مبكرًا في البرامج المقاومة المبتدئة، ثم يتعمق لاحقًا بالتكيف البنيوي، ويتسق مع ما رصدته دراسة هولتن لدى مرضى مماثلين.</w:t>
      </w:r>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ويلاحظ أن ثبات المجموعة الضابطة خلال الفترة نفسها يعزز القوة الاستدلالية للنتائج، إذ يستبعد تفسير التحسن بعوامل الزمن أو التكيف مع إجراءات القياس أو تغير الجرعات الدوائية. كما يلاحظ أن انخفاض السكر الصائم سبق في حجم أثره انخفاض السكر التراكمي النسبي، وهو نمط متوقع لأن السكر الصائم يتأثر بأثر الحصة التدريبية الحاد والتراكمي معًا بينما يمثل التراكمي متوسطًا ممهدًا لثلاثة أشهر كاملة، فيحتاج إلى مدد أطول ليتضح كامل أثره، وهو ما يفتح سؤال استدامة الأثر في بحوث لاحقة.</w:t>
      </w:r>
    </w:p>
    <w:p>
      <w:pPr>
        <w:pStyle w:val="Heading2"/>
        <w:bidi/>
        <w:spacing w:after="200" w:before="360" w:line="420" w:lineRule="atLeast"/>
        <w:jc w:val="start"/>
      </w:pPr>
      <w:bookmarkStart w:id="100023" w:name="_Toc100023"/>
      <w:r>
        <w:rPr>
          <w:rFonts w:ascii="Times New Roman" w:cs="Simplified Arabic" w:hAnsi="Times New Roman"/>
          <w:b/>
          <w:bCs/>
          <w:i w:val="false"/>
          <w:iCs w:val="false"/>
          <w:color w:val="000000"/>
          <w:sz w:val="32"/>
          <w:szCs w:val="32"/>
          <w:rtl/>
        </w:rPr>
        <w:t xml:space="preserve">الاستنتاجات</w:t>
      </w:r>
      <w:bookmarkEnd w:id="100023"/>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خلصت الدراسة إلى أن البرنامج التدريبي المدمج المطبق اثني عشر أسبوعًا بثلاث حصص أسبوعية فعال في تحسين السكر التراكمي والسكر الصائم ومقاومة الإنسولين لدى مرضى السكري النمط الثاني بفروق دالة إحصائيًا، وأن الدمج بين الجهد الهوائي والجهد العضلي في مسار تدريبي واحد يحقق فائدة مزدوجة أيضية وحركية يصعب تحقيقها بنمط منفرد. كما خلصت إلى أن القوة العضلية مؤشر عملي يمكن لأخصائي التدريب متابعته بوصفه مرآة للاستجابة التدريبية دون الحاجة إلى تحاليل مخبرية معقدة، وأن الالتزام الكامل بالحصص دون أي انسحاب يعكس قابلية هذا النوع من البرامج للقبول لدى المرضى حين تُدار بإشراف طبي وتدرج آمن.</w:t>
      </w:r>
    </w:p>
    <w:p>
      <w:pPr>
        <w:pStyle w:val="Heading2"/>
        <w:bidi/>
        <w:spacing w:after="200" w:before="360" w:line="420" w:lineRule="atLeast"/>
        <w:jc w:val="start"/>
      </w:pPr>
      <w:bookmarkStart w:id="100024" w:name="_Toc100024"/>
      <w:r>
        <w:rPr>
          <w:rFonts w:ascii="Times New Roman" w:cs="Simplified Arabic" w:hAnsi="Times New Roman"/>
          <w:b/>
          <w:bCs/>
          <w:i w:val="false"/>
          <w:iCs w:val="false"/>
          <w:color w:val="000000"/>
          <w:sz w:val="32"/>
          <w:szCs w:val="32"/>
          <w:rtl/>
        </w:rPr>
        <w:t xml:space="preserve">التوصيات والبحوث المقترحة</w:t>
      </w:r>
      <w:bookmarkEnd w:id="10002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بناءً على ما انتهت إليه النتائج، توصي الدراسة بإدماج البرامج التدريبية المدمجة المضبوطة الجرعة في خطط الرعاية الصحية الأولية لمرضى السكري النمط الثاني بالتنسيق بين أطباء الغدد الصماء وأخصائيي التدريب الرياضي، وتأسيس مجتمعات رياضية علاجية مراقبة في المراكز الصحية مجهزة بالأجهزة والكوادر المؤهلة، وتوعية المرضى بأهمية الانتظام والتدريج في الممارسة والامتثال لجدول الحصص. وتقترح الدراسة بحوثًا لاحقة تشمل متابعة استدامة الأثر بعد انتهاء البرنامج بأشهر، وتوسيع الفئات العمرية والفئات المرضية، وإضافة قياسات الوظيفة البطنية وتكوين الجسم الدقيق، ومقارنة البرنامج المدمج بأنماط التدريب المتقطع عالي الشدة في العينة نفسها لتحديد الأنسب لكل فئة.</w:t>
      </w:r>
    </w:p>
    <w:p>
      <w:pPr>
        <w:pStyle w:val="Heading1"/>
        <w:bidi/>
        <w:spacing w:after="300" w:before="480" w:line="460" w:lineRule="atLeast"/>
        <w:jc w:val="center"/>
      </w:pPr>
      <w:bookmarkStart w:id="100025" w:name="_Toc100025"/>
      <w:r>
        <w:rPr>
          <w:rFonts w:ascii="Times New Roman" w:cs="Simplified Arabic" w:hAnsi="Times New Roman"/>
          <w:b/>
          <w:bCs/>
          <w:i w:val="false"/>
          <w:iCs w:val="false"/>
          <w:color w:val="000000"/>
          <w:sz w:val="36"/>
          <w:szCs w:val="36"/>
          <w:rtl/>
        </w:rPr>
        <w:t xml:space="preserve">المراجع</w:t>
      </w:r>
      <w:bookmarkEnd w:id="100025"/>
    </w:p>
    <w:p>
      <w:pPr>
        <w:pStyle w:val="Heading2"/>
        <w:bidi/>
        <w:spacing w:after="200" w:before="360" w:line="420" w:lineRule="atLeast"/>
        <w:jc w:val="start"/>
      </w:pPr>
      <w:bookmarkStart w:id="100026" w:name="_Toc100026"/>
      <w:r>
        <w:rPr>
          <w:rFonts w:ascii="Times New Roman" w:cs="Simplified Arabic" w:hAnsi="Times New Roman"/>
          <w:b/>
          <w:bCs/>
          <w:i w:val="false"/>
          <w:iCs w:val="false"/>
          <w:color w:val="000000"/>
          <w:sz w:val="32"/>
          <w:szCs w:val="32"/>
          <w:rtl/>
        </w:rPr>
        <w:t xml:space="preserve">أولًا: المراجع العربية</w:t>
      </w:r>
      <w:bookmarkEnd w:id="100026"/>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الكيتاني، محفوظة. تأثير برنامج تدريبي هوائي مقترح على مستوى السكر التراكمي ومقاومة الإنسولين وبعض المؤشرات المرتبطة لدى المصابات بمرض السكري من النوع الثاني في سلطنة عمان. قاعدة بيانات دار المنظومة (المنهل)، متاح على الرابط: search.mandumah.com.</w:t>
      </w:r>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دراسة تأثير البرنامج الترويحي في تنظيم سكر الدم والأنسولين للمرضى المصابين بمرض السكري من النوع الثاني. موقع المتميز للعلوم والتقنية (mobt3ath.com)، متاح على الرابط: www.mobt3ath.com.</w:t>
      </w:r>
    </w:p>
    <w:p>
      <w:pPr>
        <w:pStyle w:val="Heading2"/>
        <w:bidi/>
        <w:spacing w:after="200" w:before="360" w:line="420" w:lineRule="atLeast"/>
        <w:jc w:val="start"/>
      </w:pPr>
      <w:bookmarkStart w:id="100027" w:name="_Toc100027"/>
      <w:r>
        <w:rPr>
          <w:rFonts w:ascii="Times New Roman" w:cs="Simplified Arabic" w:hAnsi="Times New Roman"/>
          <w:b/>
          <w:bCs/>
          <w:i w:val="false"/>
          <w:iCs w:val="false"/>
          <w:color w:val="000000"/>
          <w:sz w:val="32"/>
          <w:szCs w:val="32"/>
          <w:rtl/>
        </w:rPr>
        <w:t xml:space="preserve">ثانيًا: المراجع الأجنبية</w:t>
      </w:r>
      <w:bookmarkEnd w:id="100027"/>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Colberg, S. R., Sigal, R. J., Fernhall, B., Regensteiner, J. G., Blissmer, B. J., Rubin, R. R., et al. (2010). Exercise and type 2 diabetes: The American College of Sports Medicine and the American Diabetes Association joint position statement. Diabetes Care, 33(7), e147-e167.</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Diabetes Prevention Program Research Group. (2002). Reduction in the incidence of type 2 diabetes with lifestyle intervention or metformin. New England Journal of Medicine, 346(6), 393-403.</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Hungerford, K. (2024). The effects of exercise on diabetes mellitus type 2. University of Wyoming — Wyoscholar Institutional Repository. Available at: wyoscholar.uwyo.edu.</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Holten, M. K., Zacho, M., Gaster, M., Juel, C., Wojtaszewski, J. F. P., &amp; Dela, F. (2004). Strength training increases insulin-mediated glucose uptake, GLUT4 content, and insulin signaling in skeletal muscle in patients with type 2 diabetes. Diabetes, 53(2), 294-304.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Kanaley, J. A., Colberg, S. R., Corcoran, M. H., Malin, S. K., Rodriguez, A. C., Crespo, C. J., et al. (2016). Exercise/physical activity in individuals with type 2 diabetes: A position statement of the American Diabetes Association. Diabetes Care, 39(11), 2065-2079.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Look AHEAD Research Group. (2013). Cardiovascular effects of intensive lifestyle intervention in type 2 diabetes. New England Journal of Medicine, 369(2), 145-154.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Niemann, M. K. J., et al. (2020). Strength training and insulin resistance: The mediating role of body composition. Journal of Physical Activity and Health, 17(9). Available via PubMed.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Ramezani, S., et al. (2023). The effect of different types of exercise on indicators related to blood sugar control. Feyz Medical Sciences Journal, Kashan University of Medical Sciences. Available at: feyz.kaums.ac.ir.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Siregar, A. S., et al. (2025). The effect of physical exercise on blood glucose levels, HbA1c, and blood glucose variability in patients with type 2 diabetes: A quantitative analysis. Journal of Prima University. Available at: jurnal.unprimdn.ac.id.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The Impact of Resistance Exercise Training on Glycemic Control in Type 2 Diabetes. (2026). ResearchGate Publication. Available at: www.researchgate.net.</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Umpierre, D., Ribeiro, P. A. B., Kramer, C. K., Leitao, C. B., Zucatti, A. T. N., Azevedo, M. J., et al. (2011). Physical activity advice only or structured exercise training and association with HbA1c levels in type 2 diabetes: A systematic review and meta-analysis. JAMA, 305(17), 1790-1799.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Wang, W., et al. (2021). The effect of physical exercise on blood sugar control in diabetic patients. SciELO Scientific Electronic Library. Available at: www.scielo.br.</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Zahalka, S. J., et al. (2025). The role of exercise in diabetes. In: Feingold, K. R., et al. (Eds.), Endotext. South Dartmouth, MA: MDText.com, Inc. (NCBI Bookshelf). Available at: www.endotext.org.</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1"/>
        <w:szCs w:val="21"/>
      </w:rPr>
      <w:t xml:space="preserve">- </w:t>
    </w:r>
    <w:r>
      <w:rPr>
        <w:rFonts w:ascii="Times New Roman" w:hAnsi="Times New Roman"/>
        <w:sz w:val="21"/>
        <w:szCs w:val="21"/>
      </w:rPr>
      <w:fldChar w:fldCharType="begin"/>
      <w:instrText xml:space="preserve"> PAGE \* ROMAN \* MERGEFORMAT </w:instrText>
      <w:fldChar w:fldCharType="separate"/>
      <w:fldChar w:fldCharType="end"/>
    </w:r>
    <w:r>
      <w:rPr>
        <w:rFonts w:ascii="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2"/>
        <w:szCs w:val="22"/>
      </w:rPr>
      <w:t xml:space="preserve">- </w:t>
    </w:r>
    <w:r>
      <w:rPr>
        <w:rFonts w:ascii="Times New Roman" w:hAnsi="Times New Roman"/>
        <w:sz w:val="22"/>
        <w:szCs w:val="22"/>
      </w:rPr>
      <w:fldChar w:fldCharType="begin"/>
      <w:instrText xml:space="preserve"> PAGE \* arabic \* MERGEFORMAT </w:instrText>
      <w:fldChar w:fldCharType="separate"/>
      <w:fldChar w:fldCharType="end"/>
    </w:r>
    <w:r>
      <w:rPr>
        <w:rFonts w:ascii="Times New Roman" w:hAnsi="Times New Roman"/>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color w:val="000000"/>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460"/>
      <w:outlineLvl w:val="0"/>
    </w:pPr>
    <w:rPr>
      <w:rFonts w:ascii="Times New Roman" w:cs="Simplified Arabic" w:hAnsi="Times New Roman"/>
      <w:b/>
      <w:bCs/>
      <w:color w:val="000000"/>
      <w:sz w:val="36"/>
      <w:szCs w:val="36"/>
    </w:rPr>
  </w:style>
  <w:style w:type="paragraph" w:styleId="Heading2">
    <w:name w:val="Heading 2"/>
    <w:basedOn w:val="Normal"/>
    <w:next w:val="Normal"/>
    <w:qFormat/>
    <w:pPr>
      <w:spacing w:after="200" w:before="360" w:line="420"/>
      <w:outlineLvl w:val="1"/>
    </w:pPr>
    <w:rPr>
      <w:rFonts w:ascii="Times New Roman" w:cs="Simplified Arabic" w:hAnsi="Times New Roman"/>
      <w:b/>
      <w:bCs/>
      <w:color w:val="000000"/>
      <w:sz w:val="32"/>
      <w:szCs w:val="32"/>
    </w:rPr>
  </w:style>
  <w:style w:type="paragraph" w:styleId="Heading3">
    <w:name w:val="Heading 3"/>
    <w:basedOn w:val="Normal"/>
    <w:next w:val="Normal"/>
    <w:qFormat/>
    <w:pPr>
      <w:spacing w:after="160" w:before="240" w:line="400"/>
      <w:outlineLvl w:val="2"/>
    </w:pPr>
    <w:rPr>
      <w:rFonts w:ascii="Times New Roman" w:cs="Simplified Arabic" w:hAnsi="Times New Roman"/>
      <w:b/>
      <w:bCs/>
      <w:color w:val="000000"/>
      <w:sz w:val="30"/>
      <w:szCs w:val="30"/>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bidi/>
      <w:tabs>
        <w:tab w:val="right" w:leader="dot" w:pos="9026"/>
      </w:tabs>
      <w:spacing w:before="120" w:after="60"/>
    </w:pPr>
    <w:rPr>
      <w:b/>
      <w:bCs/>
    </w:rPr>
  </w:style>
  <w:style xmlns:w="http://schemas.openxmlformats.org/wordprocessingml/2006/main" w:type="paragraph" w:styleId="11">
    <w:name w:val="toc 2"/>
    <w:basedOn w:val="Normal"/>
    <w:uiPriority w:val="39"/>
    <w:pPr>
      <w:bidi/>
      <w:tabs>
        <w:tab w:val="right" w:leader="dot" w:pos="9026"/>
      </w:tabs>
      <w:ind w:left="360"/>
      <w:spacing w:before="60" w:after="40"/>
    </w:pPr>
  </w:style>
  <w:style xmlns:w="http://schemas.openxmlformats.org/wordprocessingml/2006/main" w:type="paragraph" w:styleId="12">
    <w:name w:val="toc 3"/>
    <w:basedOn w:val="Normal"/>
    <w:uiPriority w:val="39"/>
    <w:pPr>
      <w:bidi/>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تأثير الجهد البدني والعضلي على مرضى السكري – مصطفى بكور</dc:title>
  <dc:creator>مصطفى بكور</dc:creator>
  <cp:lastModifiedBy>Un-named</cp:lastModifiedBy>
  <cp:revision>1</cp:revision>
  <dcterms:created xsi:type="dcterms:W3CDTF">2026-10-02T06:45:37.349Z</dcterms:created>
  <dcterms:modified xsi:type="dcterms:W3CDTF">2026-10-02T06:45:37.351Z</dcterms:modified>
</cp:coreProperties>
</file>

<file path=docProps/custom.xml><?xml version="1.0" encoding="utf-8"?>
<Properties xmlns="http://schemas.openxmlformats.org/officeDocument/2006/custom-properties" xmlns:vt="http://schemas.openxmlformats.org/officeDocument/2006/docPropsVTypes"/>
</file>