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Picking the Next Dataset for the GNN + LLM Fusion Pipeline</w:t>
      </w:r>
    </w:p>
    <w:p>
      <w:pPr>
        <w:spacing w:after="300"/>
      </w:pPr>
      <w:r>
        <w:rPr>
          <w:i/>
          <w:iCs/>
          <w:color w:val="555555"/>
          <w:sz w:val="20"/>
          <w:szCs w:val="20"/>
        </w:rPr>
        <w:t xml:space="preserve">Prepared for: Fouad Al Tfaily  |  CESI LINEACT / Lebanese University  |  31/07/2026</w:t>
      </w:r>
    </w:p>
    <w:p>
      <w:pPr>
        <w:pStyle w:val="Heading1"/>
        <w:spacing w:after="150" w:before="300"/>
      </w:pPr>
      <w:r>
        <w:rPr>
          <w:b/>
          <w:bCs/>
          <w:color w:val="1F3864"/>
          <w:sz w:val="30"/>
          <w:szCs w:val="30"/>
        </w:rPr>
        <w:t xml:space="preserve">1. Why we're looking for a new dataset</w:t>
      </w:r>
    </w:p>
    <w:p>
      <w:pPr>
        <w:spacing w:after="140"/>
      </w:pPr>
      <w:r>
        <w:rPr>
          <w:i w:val="false"/>
          <w:iCs w:val="false"/>
          <w:sz w:val="21"/>
          <w:szCs w:val="21"/>
        </w:rPr>
        <w:t xml:space="preserve">The pipeline (graph construction, then a knowledge graph, then the parallel GNN + LLM encoders, then the AGAF fusion step) got strong F1 results on UNSW-NB15. ToN-IoT did not replicate as well. Rather than assume the pipeline is broken, we're testing a different explanation: maybe the pipeline works fine, and it's specific datasets that are easy or hard for it. So we looked for other datasets, outside network security, that have the same basic shape our pipeline needs: something graph-like, with real text or descriptions attached to nodes or edges, and a clear label to predict. If the pipeline still does well on a couple of these, that's a strong sign the method itself is sound - not just tuned to one dataset.</w:t>
      </w:r>
    </w:p>
    <w:p>
      <w:pPr>
        <w:pStyle w:val="Heading1"/>
        <w:spacing w:after="150" w:before="300"/>
      </w:pPr>
      <w:r>
        <w:rPr>
          <w:b/>
          <w:bCs/>
          <w:color w:val="1F3864"/>
          <w:sz w:val="30"/>
          <w:szCs w:val="30"/>
        </w:rPr>
        <w:t xml:space="preserve">2. How we picked the candidates</w:t>
      </w:r>
    </w:p>
    <w:p>
      <w:pPr>
        <w:spacing w:after="140"/>
      </w:pPr>
      <w:r>
        <w:rPr>
          <w:i w:val="false"/>
          <w:iCs w:val="false"/>
          <w:sz w:val="21"/>
          <w:szCs w:val="21"/>
        </w:rPr>
        <w:t xml:space="preserve">Every candidate below was checked against five simple questions:</w:t>
      </w:r>
    </w:p>
    <w:p>
      <w:pPr>
        <w:pStyle w:val="ListParagraph"/>
        <w:numPr>
          <w:ilvl w:val="0"/>
          <w:numId w:val="1"/>
        </w:numPr>
        <w:spacing w:after="60"/>
      </w:pPr>
      <w:r>
        <w:rPr>
          <w:sz w:val="21"/>
          <w:szCs w:val="21"/>
        </w:rPr>
        <w:t xml:space="preserve">Is the data naturally a graph (or easy to turn into one), with edges/nodes that actually mean something - not just a table of rows pretending to be a graph?</w:t>
      </w:r>
    </w:p>
    <w:p>
      <w:pPr>
        <w:pStyle w:val="ListParagraph"/>
        <w:numPr>
          <w:ilvl w:val="0"/>
          <w:numId w:val="1"/>
        </w:numPr>
        <w:spacing w:after="60"/>
      </w:pPr>
      <w:r>
        <w:rPr>
          <w:sz w:val="21"/>
          <w:szCs w:val="21"/>
        </w:rPr>
        <w:t xml:space="preserve">Does it have real text or descriptions (for the LLM side) AND separate structural info (for the GNN side), so the two branches aren't just duplicating each other?</w:t>
      </w:r>
    </w:p>
    <w:p>
      <w:pPr>
        <w:pStyle w:val="ListParagraph"/>
        <w:numPr>
          <w:ilvl w:val="0"/>
          <w:numId w:val="1"/>
        </w:numPr>
        <w:spacing w:after="60"/>
      </w:pPr>
      <w:r>
        <w:rPr>
          <w:sz w:val="21"/>
          <w:szCs w:val="21"/>
        </w:rPr>
        <w:t xml:space="preserve">Is there a clear label to predict, with ground truth?</w:t>
      </w:r>
    </w:p>
    <w:p>
      <w:pPr>
        <w:pStyle w:val="ListParagraph"/>
        <w:numPr>
          <w:ilvl w:val="0"/>
          <w:numId w:val="1"/>
        </w:numPr>
        <w:spacing w:after="60"/>
      </w:pPr>
      <w:r>
        <w:rPr>
          <w:sz w:val="21"/>
          <w:szCs w:val="21"/>
        </w:rPr>
        <w:t xml:space="preserve">Can we actually get the data, at a large enough scale to train on?</w:t>
      </w:r>
    </w:p>
    <w:p>
      <w:pPr>
        <w:pStyle w:val="ListParagraph"/>
        <w:numPr>
          <w:ilvl w:val="0"/>
          <w:numId w:val="1"/>
        </w:numPr>
        <w:spacing w:after="60"/>
      </w:pPr>
      <w:r>
        <w:rPr>
          <w:sz w:val="21"/>
          <w:szCs w:val="21"/>
        </w:rPr>
        <w:t xml:space="preserve">Is there already published evidence that the graph structure adds something text alone doesn't - otherwise the whole point of the fusion has nothing to prove?</w:t>
      </w:r>
    </w:p>
    <w:p>
      <w:pPr>
        <w:spacing w:after="140"/>
      </w:pPr>
      <w:r>
        <w:rPr>
          <w:i w:val="false"/>
          <w:iCs w:val="false"/>
          <w:sz w:val="21"/>
          <w:szCs w:val="21"/>
        </w:rPr>
        <w:t xml:space="preserve">For each candidate we also tried to pull a handful of real rows directly from the original source, so you can see exactly what the data looks like rather than take our word for it. Where the dataset is gated behind an access request (you have to email the authors and wait), we say so plainly instead of guessing.</w:t>
      </w:r>
    </w:p>
    <w:p>
      <w:pPr>
        <w:pStyle w:val="Heading1"/>
        <w:spacing w:after="150" w:before="300"/>
      </w:pPr>
      <w:r>
        <w:rPr>
          <w:b/>
          <w:bCs/>
          <w:color w:val="1F3864"/>
          <w:sz w:val="30"/>
          <w:szCs w:val="30"/>
        </w:rPr>
        <w:t xml:space="preserve">3. The five candidates, side by side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1350"/>
        <w:gridCol w:w="2050"/>
        <w:gridCol w:w="1900"/>
        <w:gridCol w:w="2100"/>
      </w:tblGrid>
      <w:tr>
        <w:trPr>
          <w:tblHeader/>
        </w:trPr>
        <w:tc>
          <w:tcPr>
            <w:tcW w:type="dxa" w:w="450"/>
            <w:shd w:fill="1F3864" w:val="clear"/>
            <w:tcMar>
              <w:top w:type="dxa" w:w="80"/>
              <w:left w:type="dxa" w:w="100"/>
              <w:bottom w:type="dxa" w:w="80"/>
              <w:right w:type="dxa" w:w="100"/>
            </w:tcMar>
          </w:tcPr>
          <w:p>
            <w:r>
              <w:rPr>
                <w:b/>
                <w:bCs/>
                <w:color w:val="FFFFFF"/>
                <w:sz w:val="16"/>
                <w:szCs w:val="16"/>
              </w:rPr>
              <w:t xml:space="preserve">#</w:t>
            </w:r>
          </w:p>
        </w:tc>
        <w:tc>
          <w:tcPr>
            <w:tcW w:type="dxa" w:w="1500"/>
            <w:shd w:fill="1F3864" w:val="clear"/>
            <w:tcMar>
              <w:top w:type="dxa" w:w="80"/>
              <w:left w:type="dxa" w:w="100"/>
              <w:bottom w:type="dxa" w:w="80"/>
              <w:right w:type="dxa" w:w="100"/>
            </w:tcMar>
          </w:tcPr>
          <w:p>
            <w:r>
              <w:rPr>
                <w:b/>
                <w:bCs/>
                <w:color w:val="FFFFFF"/>
                <w:sz w:val="16"/>
                <w:szCs w:val="16"/>
              </w:rPr>
              <w:t xml:space="preserve">Dataset</w:t>
            </w:r>
          </w:p>
        </w:tc>
        <w:tc>
          <w:tcPr>
            <w:tcW w:type="dxa" w:w="1350"/>
            <w:shd w:fill="1F3864" w:val="clear"/>
            <w:tcMar>
              <w:top w:type="dxa" w:w="80"/>
              <w:left w:type="dxa" w:w="100"/>
              <w:bottom w:type="dxa" w:w="80"/>
              <w:right w:type="dxa" w:w="100"/>
            </w:tcMar>
          </w:tcPr>
          <w:p>
            <w:r>
              <w:rPr>
                <w:b/>
                <w:bCs/>
                <w:color w:val="FFFFFF"/>
                <w:sz w:val="16"/>
                <w:szCs w:val="16"/>
              </w:rPr>
              <w:t xml:space="preserve">Domain</w:t>
            </w:r>
          </w:p>
        </w:tc>
        <w:tc>
          <w:tcPr>
            <w:tcW w:type="dxa" w:w="2050"/>
            <w:shd w:fill="1F3864" w:val="clear"/>
            <w:tcMar>
              <w:top w:type="dxa" w:w="80"/>
              <w:left w:type="dxa" w:w="100"/>
              <w:bottom w:type="dxa" w:w="80"/>
              <w:right w:type="dxa" w:w="100"/>
            </w:tcMar>
          </w:tcPr>
          <w:p>
            <w:r>
              <w:rPr>
                <w:b/>
                <w:bCs/>
                <w:color w:val="FFFFFF"/>
                <w:sz w:val="16"/>
                <w:szCs w:val="16"/>
              </w:rPr>
              <w:t xml:space="preserve">Task</w:t>
            </w:r>
          </w:p>
        </w:tc>
        <w:tc>
          <w:tcPr>
            <w:tcW w:type="dxa" w:w="1900"/>
            <w:shd w:fill="1F3864" w:val="clear"/>
            <w:tcMar>
              <w:top w:type="dxa" w:w="80"/>
              <w:left w:type="dxa" w:w="100"/>
              <w:bottom w:type="dxa" w:w="80"/>
              <w:right w:type="dxa" w:w="100"/>
            </w:tcMar>
          </w:tcPr>
          <w:p>
            <w:r>
              <w:rPr>
                <w:b/>
                <w:bCs/>
                <w:color w:val="FFFFFF"/>
                <w:sz w:val="16"/>
                <w:szCs w:val="16"/>
              </w:rPr>
              <w:t xml:space="preserve">Scale</w:t>
            </w:r>
          </w:p>
        </w:tc>
        <w:tc>
          <w:tcPr>
            <w:tcW w:type="dxa" w:w="2100"/>
            <w:shd w:fill="1F3864" w:val="clear"/>
            <w:tcMar>
              <w:top w:type="dxa" w:w="80"/>
              <w:left w:type="dxa" w:w="100"/>
              <w:bottom w:type="dxa" w:w="80"/>
              <w:right w:type="dxa" w:w="100"/>
            </w:tcMar>
          </w:tcPr>
          <w:p>
            <w:r>
              <w:rPr>
                <w:b/>
                <w:bCs/>
                <w:color w:val="FFFFFF"/>
                <w:sz w:val="16"/>
                <w:szCs w:val="16"/>
              </w:rPr>
              <w:t xml:space="preserve">Can we download it right now?</w:t>
            </w:r>
          </w:p>
        </w:tc>
      </w:tr>
      <w:tr>
        <w:tc>
          <w:tcPr>
            <w:tcW w:type="dxa" w:w="450"/>
            <w:tcMar>
              <w:top w:type="dxa" w:w="80"/>
              <w:left w:type="dxa" w:w="100"/>
              <w:bottom w:type="dxa" w:w="80"/>
              <w:right w:type="dxa" w:w="100"/>
            </w:tcMar>
          </w:tcPr>
          <w:p>
            <w:r>
              <w:rPr>
                <w:b w:val="false"/>
                <w:bCs w:val="false"/>
                <w:color w:val="000000"/>
                <w:sz w:val="16"/>
                <w:szCs w:val="16"/>
              </w:rPr>
              <w:t xml:space="preserve">1</w:t>
            </w:r>
          </w:p>
        </w:tc>
        <w:tc>
          <w:tcPr>
            <w:tcW w:type="dxa" w:w="1500"/>
            <w:tcMar>
              <w:top w:type="dxa" w:w="80"/>
              <w:left w:type="dxa" w:w="100"/>
              <w:bottom w:type="dxa" w:w="80"/>
              <w:right w:type="dxa" w:w="100"/>
            </w:tcMar>
          </w:tcPr>
          <w:p>
            <w:r>
              <w:rPr>
                <w:b w:val="false"/>
                <w:bCs w:val="false"/>
                <w:color w:val="000000"/>
                <w:sz w:val="16"/>
                <w:szCs w:val="16"/>
              </w:rPr>
              <w:t xml:space="preserve">TwiBot-22</w:t>
            </w:r>
          </w:p>
        </w:tc>
        <w:tc>
          <w:tcPr>
            <w:tcW w:type="dxa" w:w="1350"/>
            <w:tcMar>
              <w:top w:type="dxa" w:w="80"/>
              <w:left w:type="dxa" w:w="100"/>
              <w:bottom w:type="dxa" w:w="80"/>
              <w:right w:type="dxa" w:w="100"/>
            </w:tcMar>
          </w:tcPr>
          <w:p>
            <w:r>
              <w:rPr>
                <w:b w:val="false"/>
                <w:bCs w:val="false"/>
                <w:color w:val="000000"/>
                <w:sz w:val="16"/>
                <w:szCs w:val="16"/>
              </w:rPr>
              <w:t xml:space="preserve">Social media</w:t>
            </w:r>
          </w:p>
        </w:tc>
        <w:tc>
          <w:tcPr>
            <w:tcW w:type="dxa" w:w="2050"/>
            <w:tcMar>
              <w:top w:type="dxa" w:w="80"/>
              <w:left w:type="dxa" w:w="100"/>
              <w:bottom w:type="dxa" w:w="80"/>
              <w:right w:type="dxa" w:w="100"/>
            </w:tcMar>
          </w:tcPr>
          <w:p>
            <w:r>
              <w:rPr>
                <w:b w:val="false"/>
                <w:bCs w:val="false"/>
                <w:color w:val="000000"/>
                <w:sz w:val="16"/>
                <w:szCs w:val="16"/>
              </w:rPr>
              <w:t xml:space="preserve">Bot vs. human account</w:t>
            </w:r>
          </w:p>
        </w:tc>
        <w:tc>
          <w:tcPr>
            <w:tcW w:type="dxa" w:w="1900"/>
            <w:tcMar>
              <w:top w:type="dxa" w:w="80"/>
              <w:left w:type="dxa" w:w="100"/>
              <w:bottom w:type="dxa" w:w="80"/>
              <w:right w:type="dxa" w:w="100"/>
            </w:tcMar>
          </w:tcPr>
          <w:p>
            <w:r>
              <w:rPr>
                <w:b w:val="false"/>
                <w:bCs w:val="false"/>
                <w:color w:val="000000"/>
                <w:sz w:val="16"/>
                <w:szCs w:val="16"/>
              </w:rPr>
              <w:t xml:space="preserve">~1M users, 170M edges</w:t>
            </w:r>
          </w:p>
        </w:tc>
        <w:tc>
          <w:tcPr>
            <w:tcW w:type="dxa" w:w="2100"/>
            <w:tcMar>
              <w:top w:type="dxa" w:w="80"/>
              <w:left w:type="dxa" w:w="100"/>
              <w:bottom w:type="dxa" w:w="80"/>
              <w:right w:type="dxa" w:w="100"/>
            </w:tcMar>
          </w:tcPr>
          <w:p>
            <w:r>
              <w:rPr>
                <w:b w:val="false"/>
                <w:bCs w:val="false"/>
                <w:color w:val="000000"/>
                <w:sz w:val="16"/>
                <w:szCs w:val="16"/>
              </w:rPr>
              <w:t xml:space="preserve">No - email request required</w:t>
            </w:r>
          </w:p>
        </w:tc>
      </w:tr>
      <w:tr>
        <w:tc>
          <w:tcPr>
            <w:tcW w:type="dxa" w:w="450"/>
            <w:shd w:fill="F2F2F2" w:val="clear"/>
            <w:tcMar>
              <w:top w:type="dxa" w:w="80"/>
              <w:left w:type="dxa" w:w="100"/>
              <w:bottom w:type="dxa" w:w="80"/>
              <w:right w:type="dxa" w:w="100"/>
            </w:tcMar>
          </w:tcPr>
          <w:p>
            <w:r>
              <w:rPr>
                <w:b w:val="false"/>
                <w:bCs w:val="false"/>
                <w:color w:val="000000"/>
                <w:sz w:val="16"/>
                <w:szCs w:val="16"/>
              </w:rPr>
              <w:t xml:space="preserve">2</w:t>
            </w:r>
          </w:p>
        </w:tc>
        <w:tc>
          <w:tcPr>
            <w:tcW w:type="dxa" w:w="1500"/>
            <w:shd w:fill="F2F2F2" w:val="clear"/>
            <w:tcMar>
              <w:top w:type="dxa" w:w="80"/>
              <w:left w:type="dxa" w:w="100"/>
              <w:bottom w:type="dxa" w:w="80"/>
              <w:right w:type="dxa" w:w="100"/>
            </w:tcMar>
          </w:tcPr>
          <w:p>
            <w:r>
              <w:rPr>
                <w:b w:val="false"/>
                <w:bCs w:val="false"/>
                <w:color w:val="000000"/>
                <w:sz w:val="16"/>
                <w:szCs w:val="16"/>
              </w:rPr>
              <w:t xml:space="preserve">ogbn-arxiv</w:t>
            </w:r>
          </w:p>
        </w:tc>
        <w:tc>
          <w:tcPr>
            <w:tcW w:type="dxa" w:w="1350"/>
            <w:shd w:fill="F2F2F2" w:val="clear"/>
            <w:tcMar>
              <w:top w:type="dxa" w:w="80"/>
              <w:left w:type="dxa" w:w="100"/>
              <w:bottom w:type="dxa" w:w="80"/>
              <w:right w:type="dxa" w:w="100"/>
            </w:tcMar>
          </w:tcPr>
          <w:p>
            <w:r>
              <w:rPr>
                <w:b w:val="false"/>
                <w:bCs w:val="false"/>
                <w:color w:val="000000"/>
                <w:sz w:val="16"/>
                <w:szCs w:val="16"/>
              </w:rPr>
              <w:t xml:space="preserve">Research papers</w:t>
            </w:r>
          </w:p>
        </w:tc>
        <w:tc>
          <w:tcPr>
            <w:tcW w:type="dxa" w:w="2050"/>
            <w:shd w:fill="F2F2F2" w:val="clear"/>
            <w:tcMar>
              <w:top w:type="dxa" w:w="80"/>
              <w:left w:type="dxa" w:w="100"/>
              <w:bottom w:type="dxa" w:w="80"/>
              <w:right w:type="dxa" w:w="100"/>
            </w:tcMar>
          </w:tcPr>
          <w:p>
            <w:r>
              <w:rPr>
                <w:b w:val="false"/>
                <w:bCs w:val="false"/>
                <w:color w:val="000000"/>
                <w:sz w:val="16"/>
                <w:szCs w:val="16"/>
              </w:rPr>
              <w:t xml:space="preserve">40-way subject area</w:t>
            </w:r>
          </w:p>
        </w:tc>
        <w:tc>
          <w:tcPr>
            <w:tcW w:type="dxa" w:w="1900"/>
            <w:shd w:fill="F2F2F2" w:val="clear"/>
            <w:tcMar>
              <w:top w:type="dxa" w:w="80"/>
              <w:left w:type="dxa" w:w="100"/>
              <w:bottom w:type="dxa" w:w="80"/>
              <w:right w:type="dxa" w:w="100"/>
            </w:tcMar>
          </w:tcPr>
          <w:p>
            <w:r>
              <w:rPr>
                <w:b w:val="false"/>
                <w:bCs w:val="false"/>
                <w:color w:val="000000"/>
                <w:sz w:val="16"/>
                <w:szCs w:val="16"/>
              </w:rPr>
              <w:t xml:space="preserve">169K papers, 1.17M citations</w:t>
            </w:r>
          </w:p>
        </w:tc>
        <w:tc>
          <w:tcPr>
            <w:tcW w:type="dxa" w:w="2100"/>
            <w:shd w:fill="F2F2F2" w:val="clear"/>
            <w:tcMar>
              <w:top w:type="dxa" w:w="80"/>
              <w:left w:type="dxa" w:w="100"/>
              <w:bottom w:type="dxa" w:w="80"/>
              <w:right w:type="dxa" w:w="100"/>
            </w:tcMar>
          </w:tcPr>
          <w:p>
            <w:r>
              <w:rPr>
                <w:b w:val="false"/>
                <w:bCs w:val="false"/>
                <w:color w:val="000000"/>
                <w:sz w:val="16"/>
                <w:szCs w:val="16"/>
              </w:rPr>
              <w:t xml:space="preserve">Yes - one line of code</w:t>
            </w:r>
          </w:p>
        </w:tc>
      </w:tr>
      <w:tr>
        <w:tc>
          <w:tcPr>
            <w:tcW w:type="dxa" w:w="450"/>
            <w:tcMar>
              <w:top w:type="dxa" w:w="80"/>
              <w:left w:type="dxa" w:w="100"/>
              <w:bottom w:type="dxa" w:w="80"/>
              <w:right w:type="dxa" w:w="100"/>
            </w:tcMar>
          </w:tcPr>
          <w:p>
            <w:r>
              <w:rPr>
                <w:b w:val="false"/>
                <w:bCs w:val="false"/>
                <w:color w:val="000000"/>
                <w:sz w:val="16"/>
                <w:szCs w:val="16"/>
              </w:rPr>
              <w:t xml:space="preserve">3</w:t>
            </w:r>
          </w:p>
        </w:tc>
        <w:tc>
          <w:tcPr>
            <w:tcW w:type="dxa" w:w="1500"/>
            <w:tcMar>
              <w:top w:type="dxa" w:w="80"/>
              <w:left w:type="dxa" w:w="100"/>
              <w:bottom w:type="dxa" w:w="80"/>
              <w:right w:type="dxa" w:w="100"/>
            </w:tcMar>
          </w:tcPr>
          <w:p>
            <w:r>
              <w:rPr>
                <w:b w:val="false"/>
                <w:bCs w:val="false"/>
                <w:color w:val="000000"/>
                <w:sz w:val="16"/>
                <w:szCs w:val="16"/>
              </w:rPr>
              <w:t xml:space="preserve">YelpChi / Amazon Fraud</w:t>
            </w:r>
          </w:p>
        </w:tc>
        <w:tc>
          <w:tcPr>
            <w:tcW w:type="dxa" w:w="1350"/>
            <w:tcMar>
              <w:top w:type="dxa" w:w="80"/>
              <w:left w:type="dxa" w:w="100"/>
              <w:bottom w:type="dxa" w:w="80"/>
              <w:right w:type="dxa" w:w="100"/>
            </w:tcMar>
          </w:tcPr>
          <w:p>
            <w:r>
              <w:rPr>
                <w:b w:val="false"/>
                <w:bCs w:val="false"/>
                <w:color w:val="000000"/>
                <w:sz w:val="16"/>
                <w:szCs w:val="16"/>
              </w:rPr>
              <w:t xml:space="preserve">Online reviews</w:t>
            </w:r>
          </w:p>
        </w:tc>
        <w:tc>
          <w:tcPr>
            <w:tcW w:type="dxa" w:w="2050"/>
            <w:tcMar>
              <w:top w:type="dxa" w:w="80"/>
              <w:left w:type="dxa" w:w="100"/>
              <w:bottom w:type="dxa" w:w="80"/>
              <w:right w:type="dxa" w:w="100"/>
            </w:tcMar>
          </w:tcPr>
          <w:p>
            <w:r>
              <w:rPr>
                <w:b w:val="false"/>
                <w:bCs w:val="false"/>
                <w:color w:val="000000"/>
                <w:sz w:val="16"/>
                <w:szCs w:val="16"/>
              </w:rPr>
              <w:t xml:space="preserve">Fake vs. real review/reviewer</w:t>
            </w:r>
          </w:p>
        </w:tc>
        <w:tc>
          <w:tcPr>
            <w:tcW w:type="dxa" w:w="1900"/>
            <w:tcMar>
              <w:top w:type="dxa" w:w="80"/>
              <w:left w:type="dxa" w:w="100"/>
              <w:bottom w:type="dxa" w:w="80"/>
              <w:right w:type="dxa" w:w="100"/>
            </w:tcMar>
          </w:tcPr>
          <w:p>
            <w:r>
              <w:rPr>
                <w:b w:val="false"/>
                <w:bCs w:val="false"/>
                <w:color w:val="000000"/>
                <w:sz w:val="16"/>
                <w:szCs w:val="16"/>
              </w:rPr>
              <w:t xml:space="preserve">46K / 12K nodes</w:t>
            </w:r>
          </w:p>
        </w:tc>
        <w:tc>
          <w:tcPr>
            <w:tcW w:type="dxa" w:w="2100"/>
            <w:tcMar>
              <w:top w:type="dxa" w:w="80"/>
              <w:left w:type="dxa" w:w="100"/>
              <w:bottom w:type="dxa" w:w="80"/>
              <w:right w:type="dxa" w:w="100"/>
            </w:tcMar>
          </w:tcPr>
          <w:p>
            <w:r>
              <w:rPr>
                <w:b w:val="false"/>
                <w:bCs w:val="false"/>
                <w:color w:val="000000"/>
                <w:sz w:val="16"/>
                <w:szCs w:val="16"/>
              </w:rPr>
              <w:t xml:space="preserve">Text: no (email). Numbers-only version: yes, but large</w:t>
            </w:r>
          </w:p>
        </w:tc>
      </w:tr>
      <w:tr>
        <w:tc>
          <w:tcPr>
            <w:tcW w:type="dxa" w:w="450"/>
            <w:shd w:fill="F2F2F2" w:val="clear"/>
            <w:tcMar>
              <w:top w:type="dxa" w:w="80"/>
              <w:left w:type="dxa" w:w="100"/>
              <w:bottom w:type="dxa" w:w="80"/>
              <w:right w:type="dxa" w:w="100"/>
            </w:tcMar>
          </w:tcPr>
          <w:p>
            <w:r>
              <w:rPr>
                <w:b w:val="false"/>
                <w:bCs w:val="false"/>
                <w:color w:val="000000"/>
                <w:sz w:val="16"/>
                <w:szCs w:val="16"/>
              </w:rPr>
              <w:t xml:space="preserve">4</w:t>
            </w:r>
          </w:p>
        </w:tc>
        <w:tc>
          <w:tcPr>
            <w:tcW w:type="dxa" w:w="1500"/>
            <w:shd w:fill="F2F2F2" w:val="clear"/>
            <w:tcMar>
              <w:top w:type="dxa" w:w="80"/>
              <w:left w:type="dxa" w:w="100"/>
              <w:bottom w:type="dxa" w:w="80"/>
              <w:right w:type="dxa" w:w="100"/>
            </w:tcMar>
          </w:tcPr>
          <w:p>
            <w:r>
              <w:rPr>
                <w:b w:val="false"/>
                <w:bCs w:val="false"/>
                <w:color w:val="000000"/>
                <w:sz w:val="16"/>
                <w:szCs w:val="16"/>
              </w:rPr>
              <w:t xml:space="preserve">PrimeKG</w:t>
            </w:r>
          </w:p>
        </w:tc>
        <w:tc>
          <w:tcPr>
            <w:tcW w:type="dxa" w:w="1350"/>
            <w:shd w:fill="F2F2F2" w:val="clear"/>
            <w:tcMar>
              <w:top w:type="dxa" w:w="80"/>
              <w:left w:type="dxa" w:w="100"/>
              <w:bottom w:type="dxa" w:w="80"/>
              <w:right w:type="dxa" w:w="100"/>
            </w:tcMar>
          </w:tcPr>
          <w:p>
            <w:r>
              <w:rPr>
                <w:b w:val="false"/>
                <w:bCs w:val="false"/>
                <w:color w:val="000000"/>
                <w:sz w:val="16"/>
                <w:szCs w:val="16"/>
              </w:rPr>
              <w:t xml:space="preserve">Medicine</w:t>
            </w:r>
          </w:p>
        </w:tc>
        <w:tc>
          <w:tcPr>
            <w:tcW w:type="dxa" w:w="2050"/>
            <w:shd w:fill="F2F2F2" w:val="clear"/>
            <w:tcMar>
              <w:top w:type="dxa" w:w="80"/>
              <w:left w:type="dxa" w:w="100"/>
              <w:bottom w:type="dxa" w:w="80"/>
              <w:right w:type="dxa" w:w="100"/>
            </w:tcMar>
          </w:tcPr>
          <w:p>
            <w:r>
              <w:rPr>
                <w:b w:val="false"/>
                <w:bCs w:val="false"/>
                <w:color w:val="000000"/>
                <w:sz w:val="16"/>
                <w:szCs w:val="16"/>
              </w:rPr>
              <w:t xml:space="preserve">Drug-disease relation type</w:t>
            </w:r>
          </w:p>
        </w:tc>
        <w:tc>
          <w:tcPr>
            <w:tcW w:type="dxa" w:w="1900"/>
            <w:shd w:fill="F2F2F2" w:val="clear"/>
            <w:tcMar>
              <w:top w:type="dxa" w:w="80"/>
              <w:left w:type="dxa" w:w="100"/>
              <w:bottom w:type="dxa" w:w="80"/>
              <w:right w:type="dxa" w:w="100"/>
            </w:tcMar>
          </w:tcPr>
          <w:p>
            <w:r>
              <w:rPr>
                <w:b w:val="false"/>
                <w:bCs w:val="false"/>
                <w:color w:val="000000"/>
                <w:sz w:val="16"/>
                <w:szCs w:val="16"/>
              </w:rPr>
              <w:t xml:space="preserve">129K nodes, 4.05M edges</w:t>
            </w:r>
          </w:p>
        </w:tc>
        <w:tc>
          <w:tcPr>
            <w:tcW w:type="dxa" w:w="2100"/>
            <w:shd w:fill="F2F2F2" w:val="clear"/>
            <w:tcMar>
              <w:top w:type="dxa" w:w="80"/>
              <w:left w:type="dxa" w:w="100"/>
              <w:bottom w:type="dxa" w:w="80"/>
              <w:right w:type="dxa" w:w="100"/>
            </w:tcMar>
          </w:tcPr>
          <w:p>
            <w:r>
              <w:rPr>
                <w:b w:val="false"/>
                <w:bCs w:val="false"/>
                <w:color w:val="000000"/>
                <w:sz w:val="16"/>
                <w:szCs w:val="16"/>
              </w:rPr>
              <w:t xml:space="preserve">Yes - direct download</w:t>
            </w:r>
          </w:p>
        </w:tc>
      </w:tr>
      <w:tr>
        <w:tc>
          <w:tcPr>
            <w:tcW w:type="dxa" w:w="450"/>
            <w:tcMar>
              <w:top w:type="dxa" w:w="80"/>
              <w:left w:type="dxa" w:w="100"/>
              <w:bottom w:type="dxa" w:w="80"/>
              <w:right w:type="dxa" w:w="100"/>
            </w:tcMar>
          </w:tcPr>
          <w:p>
            <w:r>
              <w:rPr>
                <w:b w:val="false"/>
                <w:bCs w:val="false"/>
                <w:color w:val="000000"/>
                <w:sz w:val="16"/>
                <w:szCs w:val="16"/>
              </w:rPr>
              <w:t xml:space="preserve">5</w:t>
            </w:r>
          </w:p>
        </w:tc>
        <w:tc>
          <w:tcPr>
            <w:tcW w:type="dxa" w:w="1500"/>
            <w:tcMar>
              <w:top w:type="dxa" w:w="80"/>
              <w:left w:type="dxa" w:w="100"/>
              <w:bottom w:type="dxa" w:w="80"/>
              <w:right w:type="dxa" w:w="100"/>
            </w:tcMar>
          </w:tcPr>
          <w:p>
            <w:r>
              <w:rPr>
                <w:b w:val="false"/>
                <w:bCs w:val="false"/>
                <w:color w:val="000000"/>
                <w:sz w:val="16"/>
                <w:szCs w:val="16"/>
              </w:rPr>
              <w:t xml:space="preserve">TDC TWOSIDES</w:t>
            </w:r>
          </w:p>
        </w:tc>
        <w:tc>
          <w:tcPr>
            <w:tcW w:type="dxa" w:w="1350"/>
            <w:tcMar>
              <w:top w:type="dxa" w:w="80"/>
              <w:left w:type="dxa" w:w="100"/>
              <w:bottom w:type="dxa" w:w="80"/>
              <w:right w:type="dxa" w:w="100"/>
            </w:tcMar>
          </w:tcPr>
          <w:p>
            <w:r>
              <w:rPr>
                <w:b w:val="false"/>
                <w:bCs w:val="false"/>
                <w:color w:val="000000"/>
                <w:sz w:val="16"/>
                <w:szCs w:val="16"/>
              </w:rPr>
              <w:t xml:space="preserve">Drug combinations</w:t>
            </w:r>
          </w:p>
        </w:tc>
        <w:tc>
          <w:tcPr>
            <w:tcW w:type="dxa" w:w="2050"/>
            <w:tcMar>
              <w:top w:type="dxa" w:w="80"/>
              <w:left w:type="dxa" w:w="100"/>
              <w:bottom w:type="dxa" w:w="80"/>
              <w:right w:type="dxa" w:w="100"/>
            </w:tcMar>
          </w:tcPr>
          <w:p>
            <w:r>
              <w:rPr>
                <w:b w:val="false"/>
                <w:bCs w:val="false"/>
                <w:color w:val="000000"/>
                <w:sz w:val="16"/>
                <w:szCs w:val="16"/>
              </w:rPr>
              <w:t xml:space="preserve">Which side effect(s) occur</w:t>
            </w:r>
          </w:p>
        </w:tc>
        <w:tc>
          <w:tcPr>
            <w:tcW w:type="dxa" w:w="1900"/>
            <w:tcMar>
              <w:top w:type="dxa" w:w="80"/>
              <w:left w:type="dxa" w:w="100"/>
              <w:bottom w:type="dxa" w:w="80"/>
              <w:right w:type="dxa" w:w="100"/>
            </w:tcMar>
          </w:tcPr>
          <w:p>
            <w:r>
              <w:rPr>
                <w:b w:val="false"/>
                <w:bCs w:val="false"/>
                <w:color w:val="000000"/>
                <w:sz w:val="16"/>
                <w:szCs w:val="16"/>
              </w:rPr>
              <w:t xml:space="preserve">645 drugs, 4.65M pairs</w:t>
            </w:r>
          </w:p>
        </w:tc>
        <w:tc>
          <w:tcPr>
            <w:tcW w:type="dxa" w:w="2100"/>
            <w:tcMar>
              <w:top w:type="dxa" w:w="80"/>
              <w:left w:type="dxa" w:w="100"/>
              <w:bottom w:type="dxa" w:w="80"/>
              <w:right w:type="dxa" w:w="100"/>
            </w:tcMar>
          </w:tcPr>
          <w:p>
            <w:r>
              <w:rPr>
                <w:b w:val="false"/>
                <w:bCs w:val="false"/>
                <w:color w:val="000000"/>
                <w:sz w:val="16"/>
                <w:szCs w:val="16"/>
              </w:rPr>
              <w:t xml:space="preserve">Yes - one line of code</w:t>
            </w:r>
          </w:p>
        </w:tc>
      </w:tr>
    </w:tbl>
    <w:p>
      <w:pPr>
        <w:spacing w:after="140"/>
      </w:pPr>
      <w:r>
        <w:rPr>
          <w:i w:val="false"/>
          <w:iCs w:val="false"/>
          <w:sz w:val="21"/>
          <w:szCs w:val="21"/>
        </w:rPr>
        <w:t xml:space="preserve"/>
      </w:r>
    </w:p>
    <w:p>
      <w:pPr>
        <w:pStyle w:val="Heading1"/>
        <w:spacing w:after="150" w:before="300"/>
      </w:pPr>
      <w:r>
        <w:rPr>
          <w:b/>
          <w:bCs/>
          <w:color w:val="1F3864"/>
          <w:sz w:val="30"/>
          <w:szCs w:val="30"/>
        </w:rPr>
        <w:t xml:space="preserve">4. Each candidate in plain terms</w:t>
      </w:r>
    </w:p>
    <w:p>
      <w:pPr>
        <w:pStyle w:val="Heading2"/>
        <w:spacing w:after="120" w:before="240"/>
      </w:pPr>
      <w:r>
        <w:rPr>
          <w:b/>
          <w:bCs/>
          <w:color w:val="1F3864"/>
          <w:sz w:val="24"/>
          <w:szCs w:val="24"/>
        </w:rPr>
        <w:t xml:space="preserve">4.1  TwiBot-22 - Twitter bot detection</w:t>
      </w:r>
    </w:p>
    <w:p>
      <w:pPr>
        <w:spacing w:after="140"/>
      </w:pPr>
      <w:r>
        <w:rPr>
          <w:i w:val="false"/>
          <w:iCs w:val="false"/>
          <w:sz w:val="21"/>
          <w:szCs w:val="21"/>
        </w:rPr>
        <w:t xml:space="preserve">What it is: a big snapshot of Twitter/X accounts - who follows who, who retweets who, who's on the same lists - labeled as either a real person or a bot.</w:t>
      </w:r>
    </w:p>
    <w:p>
      <w:pPr>
        <w:spacing w:after="100"/>
      </w:pPr>
      <w:r>
        <w:rPr>
          <w:b/>
          <w:bCs/>
          <w:color w:val="1F3864"/>
          <w:sz w:val="21"/>
          <w:szCs w:val="21"/>
        </w:rPr>
        <w:t xml:space="preserve">Sample rows: not available in this session.</w:t>
      </w:r>
    </w:p>
    <w:p>
      <w:pPr>
        <w:spacing w:after="140"/>
      </w:pPr>
      <w:r>
        <w:rPr>
          <w:i/>
          <w:iCs/>
          <w:sz w:val="21"/>
          <w:szCs w:val="21"/>
        </w:rPr>
        <w:t xml:space="preserve">Access to TwiBot-22 isn't a simple download - you email the maintainers with your university affiliation and they send you a link. We didn't request that here, so instead of guessing at fake rows, here's exactly what the real files contain, straight from the dataset's own documentation: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r>
              <w:rPr>
                <w:b/>
                <w:bCs/>
                <w:color w:val="FFFFFF"/>
                <w:sz w:val="18"/>
                <w:szCs w:val="18"/>
              </w:rPr>
              <w:t xml:space="preserve">File</w:t>
            </w:r>
          </w:p>
        </w:tc>
        <w:tc>
          <w:tcPr>
            <w:tcW w:type="dxa" w:w="6200"/>
            <w:shd w:fill="1F3864" w:val="clear"/>
            <w:tcMar>
              <w:top w:type="dxa" w:w="80"/>
              <w:left w:type="dxa" w:w="100"/>
              <w:bottom w:type="dxa" w:w="80"/>
              <w:right w:type="dxa" w:w="100"/>
            </w:tcMar>
          </w:tcPr>
          <w:p>
            <w:r>
              <w:rPr>
                <w:b/>
                <w:bCs/>
                <w:color w:val="FFFFFF"/>
                <w:sz w:val="18"/>
                <w:szCs w:val="18"/>
              </w:rPr>
              <w:t xml:space="preserve">What's in it</w:t>
            </w:r>
          </w:p>
        </w:tc>
      </w:tr>
      <w:tr>
        <w:tc>
          <w:tcPr>
            <w:tcW w:type="dxa" w:w="3200"/>
            <w:tcMar>
              <w:top w:type="dxa" w:w="80"/>
              <w:left w:type="dxa" w:w="100"/>
              <w:bottom w:type="dxa" w:w="80"/>
              <w:right w:type="dxa" w:w="100"/>
            </w:tcMar>
          </w:tcPr>
          <w:p>
            <w:r>
              <w:rPr>
                <w:b w:val="false"/>
                <w:bCs w:val="false"/>
                <w:color w:val="000000"/>
                <w:sz w:val="18"/>
                <w:szCs w:val="18"/>
              </w:rPr>
              <w:t xml:space="preserve">node.json / user.json</w:t>
            </w:r>
          </w:p>
        </w:tc>
        <w:tc>
          <w:tcPr>
            <w:tcW w:type="dxa" w:w="6200"/>
            <w:tcMar>
              <w:top w:type="dxa" w:w="80"/>
              <w:left w:type="dxa" w:w="100"/>
              <w:bottom w:type="dxa" w:w="80"/>
              <w:right w:type="dxa" w:w="100"/>
            </w:tcMar>
          </w:tcPr>
          <w:p>
            <w:r>
              <w:rPr>
                <w:b w:val="false"/>
                <w:bCs w:val="false"/>
                <w:color w:val="000000"/>
                <w:sz w:val="18"/>
                <w:szCs w:val="18"/>
              </w:rPr>
              <w:t xml:space="preserve">One entry per account: profile fields like username, bio text, follower count, tweets</w:t>
            </w:r>
          </w:p>
        </w:tc>
      </w:tr>
      <w:tr>
        <w:tc>
          <w:tcPr>
            <w:tcW w:type="dxa" w:w="3200"/>
            <w:shd w:fill="F2F2F2" w:val="clear"/>
            <w:tcMar>
              <w:top w:type="dxa" w:w="80"/>
              <w:left w:type="dxa" w:w="100"/>
              <w:bottom w:type="dxa" w:w="80"/>
              <w:right w:type="dxa" w:w="100"/>
            </w:tcMar>
          </w:tcPr>
          <w:p>
            <w:r>
              <w:rPr>
                <w:b w:val="false"/>
                <w:bCs w:val="false"/>
                <w:color w:val="000000"/>
                <w:sz w:val="18"/>
                <w:szCs w:val="18"/>
              </w:rPr>
              <w:t xml:space="preserve">edge.csv</w:t>
            </w:r>
          </w:p>
        </w:tc>
        <w:tc>
          <w:tcPr>
            <w:tcW w:type="dxa" w:w="6200"/>
            <w:shd w:fill="F2F2F2" w:val="clear"/>
            <w:tcMar>
              <w:top w:type="dxa" w:w="80"/>
              <w:left w:type="dxa" w:w="100"/>
              <w:bottom w:type="dxa" w:w="80"/>
              <w:right w:type="dxa" w:w="100"/>
            </w:tcMar>
          </w:tcPr>
          <w:p>
            <w:r>
              <w:rPr>
                <w:b w:val="false"/>
                <w:bCs w:val="false"/>
                <w:color w:val="000000"/>
                <w:sz w:val="18"/>
                <w:szCs w:val="18"/>
              </w:rPr>
              <w:t xml:space="preserve">source_id, target_id, relation_type  (e.g. "follow", "retweet", "mention")</w:t>
            </w:r>
          </w:p>
        </w:tc>
      </w:tr>
      <w:tr>
        <w:tc>
          <w:tcPr>
            <w:tcW w:type="dxa" w:w="3200"/>
            <w:tcMar>
              <w:top w:type="dxa" w:w="80"/>
              <w:left w:type="dxa" w:w="100"/>
              <w:bottom w:type="dxa" w:w="80"/>
              <w:right w:type="dxa" w:w="100"/>
            </w:tcMar>
          </w:tcPr>
          <w:p>
            <w:r>
              <w:rPr>
                <w:b w:val="false"/>
                <w:bCs w:val="false"/>
                <w:color w:val="000000"/>
                <w:sz w:val="18"/>
                <w:szCs w:val="18"/>
              </w:rPr>
              <w:t xml:space="preserve">label.csv</w:t>
            </w:r>
          </w:p>
        </w:tc>
        <w:tc>
          <w:tcPr>
            <w:tcW w:type="dxa" w:w="6200"/>
            <w:tcMar>
              <w:top w:type="dxa" w:w="80"/>
              <w:left w:type="dxa" w:w="100"/>
              <w:bottom w:type="dxa" w:w="80"/>
              <w:right w:type="dxa" w:w="100"/>
            </w:tcMar>
          </w:tcPr>
          <w:p>
            <w:r>
              <w:rPr>
                <w:b w:val="false"/>
                <w:bCs w:val="false"/>
                <w:color w:val="000000"/>
                <w:sz w:val="18"/>
                <w:szCs w:val="18"/>
              </w:rPr>
              <w:t xml:space="preserve">user id  -&gt;  human or bot</w:t>
            </w:r>
          </w:p>
        </w:tc>
      </w:tr>
    </w:tbl>
    <w:p>
      <w:pPr>
        <w:spacing w:after="140"/>
      </w:pPr>
      <w:r>
        <w:rPr>
          <w:i w:val="false"/>
          <w:iCs w:val="false"/>
          <w:sz w:val="21"/>
          <w:szCs w:val="21"/>
        </w:rPr>
        <w:t xml:space="preserve"/>
      </w:r>
    </w:p>
    <w:p>
      <w:pPr>
        <w:spacing w:after="60"/>
      </w:pPr>
      <w:r>
        <w:rPr>
          <w:b/>
          <w:bCs/>
          <w:color w:val="2E7D32"/>
          <w:sz w:val="21"/>
          <w:szCs w:val="21"/>
        </w:rPr>
        <w:t xml:space="preserve">+  </w:t>
      </w:r>
      <w:r>
        <w:rPr>
          <w:sz w:val="21"/>
          <w:szCs w:val="21"/>
        </w:rPr>
        <w:t xml:space="preserve">The follow/retweet network is a genuine graph signal - bot rings cluster together in a way that shows up in the structure before it shows up in any single profile. Each account also has real text (bio, tweets) for the LLM side. The dataset's own paper reports graph-based methods beating text-only ones - so "structure helps" is already proven here.</w:t>
      </w:r>
    </w:p>
    <w:p>
      <w:pPr>
        <w:spacing w:after="60"/>
      </w:pPr>
      <w:r>
        <w:rPr>
          <w:b/>
          <w:bCs/>
          <w:color w:val="B71C1C"/>
          <w:sz w:val="21"/>
          <w:szCs w:val="21"/>
        </w:rPr>
        <w:t xml:space="preserve">-  </w:t>
      </w:r>
      <w:r>
        <w:rPr>
          <w:sz w:val="21"/>
          <w:szCs w:val="21"/>
        </w:rPr>
        <w:t xml:space="preserve">You have to request access and wait - no instant download. The data is a frozen snapshot (Twitter's API rules mean it can't be refreshed). Also, GNN+text fusion for bot detection is already a fairly busy research area, so we'd need to lean specifically on our AGAF + feedback-loop angle to stand out, not just "graph plus text."</w:t>
      </w:r>
    </w:p>
    <w:p>
      <w:pPr>
        <w:pStyle w:val="Heading2"/>
        <w:spacing w:after="120" w:before="240"/>
      </w:pPr>
      <w:r>
        <w:rPr>
          <w:b/>
          <w:bCs/>
          <w:color w:val="1F3864"/>
          <w:sz w:val="24"/>
          <w:szCs w:val="24"/>
        </w:rPr>
        <w:t xml:space="preserve">4.2  ogbn-arxiv - who-cites-who among research papers</w:t>
      </w:r>
    </w:p>
    <w:p>
      <w:pPr>
        <w:spacing w:after="140"/>
      </w:pPr>
      <w:r>
        <w:rPr>
          <w:i w:val="false"/>
          <w:iCs w:val="false"/>
          <w:sz w:val="21"/>
          <w:szCs w:val="21"/>
        </w:rPr>
        <w:t xml:space="preserve">What it is: about 170,000 computer-science papers from arXiv, the citation links between them (who cites who), and which of 40 subject areas (like "machine learning" or "networking") each paper belongs to.</w:t>
      </w:r>
    </w:p>
    <w:p>
      <w:pPr>
        <w:spacing w:after="100"/>
      </w:pPr>
      <w:r>
        <w:rPr>
          <w:b/>
          <w:bCs/>
          <w:color w:val="1F3864"/>
          <w:sz w:val="21"/>
          <w:szCs w:val="21"/>
        </w:rPr>
        <w:t xml:space="preserve">Sample rows - these are real rows, pulled directly from the official file: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00"/>
      </w:tblGrid>
      <w:tr>
        <w:trPr>
          <w:tblHeader/>
        </w:trPr>
        <w:tc>
          <w:tcPr>
            <w:tcW w:type="dxa" w:w="1100"/>
            <w:shd w:fill="1F3864" w:val="clear"/>
            <w:tcMar>
              <w:top w:type="dxa" w:w="80"/>
              <w:left w:type="dxa" w:w="100"/>
              <w:bottom w:type="dxa" w:w="80"/>
              <w:right w:type="dxa" w:w="100"/>
            </w:tcMar>
          </w:tcPr>
          <w:p>
            <w:r>
              <w:rPr>
                <w:b/>
                <w:bCs/>
                <w:color w:val="FFFFFF"/>
                <w:sz w:val="18"/>
                <w:szCs w:val="18"/>
              </w:rPr>
              <w:t xml:space="preserve">Paper ID</w:t>
            </w:r>
          </w:p>
        </w:tc>
        <w:tc>
          <w:tcPr>
            <w:tcW w:type="dxa" w:w="2900"/>
            <w:shd w:fill="1F3864" w:val="clear"/>
            <w:tcMar>
              <w:top w:type="dxa" w:w="80"/>
              <w:left w:type="dxa" w:w="100"/>
              <w:bottom w:type="dxa" w:w="80"/>
              <w:right w:type="dxa" w:w="100"/>
            </w:tcMar>
          </w:tcPr>
          <w:p>
            <w:r>
              <w:rPr>
                <w:b/>
                <w:bCs/>
                <w:color w:val="FFFFFF"/>
                <w:sz w:val="18"/>
                <w:szCs w:val="18"/>
              </w:rPr>
              <w:t xml:space="preserve">Title</w:t>
            </w:r>
          </w:p>
        </w:tc>
        <w:tc>
          <w:tcPr>
            <w:tcW w:type="dxa" w:w="5300"/>
            <w:shd w:fill="1F3864" w:val="clear"/>
            <w:tcMar>
              <w:top w:type="dxa" w:w="80"/>
              <w:left w:type="dxa" w:w="100"/>
              <w:bottom w:type="dxa" w:w="80"/>
              <w:right w:type="dxa" w:w="100"/>
            </w:tcMar>
          </w:tcPr>
          <w:p>
            <w:r>
              <w:rPr>
                <w:b/>
                <w:bCs/>
                <w:color w:val="FFFFFF"/>
                <w:sz w:val="18"/>
                <w:szCs w:val="18"/>
              </w:rPr>
              <w:t xml:space="preserve">Abstract (first part)</w:t>
            </w:r>
          </w:p>
        </w:tc>
      </w:tr>
      <w:tr>
        <w:tc>
          <w:tcPr>
            <w:tcW w:type="dxa" w:w="1100"/>
            <w:tcMar>
              <w:top w:type="dxa" w:w="80"/>
              <w:left w:type="dxa" w:w="100"/>
              <w:bottom w:type="dxa" w:w="80"/>
              <w:right w:type="dxa" w:w="100"/>
            </w:tcMar>
          </w:tcPr>
          <w:p>
            <w:r>
              <w:rPr>
                <w:b w:val="false"/>
                <w:bCs w:val="false"/>
                <w:color w:val="000000"/>
                <w:sz w:val="18"/>
                <w:szCs w:val="18"/>
              </w:rPr>
              <w:t xml:space="preserve">549074</w:t>
            </w:r>
          </w:p>
        </w:tc>
        <w:tc>
          <w:tcPr>
            <w:tcW w:type="dxa" w:w="2900"/>
            <w:tcMar>
              <w:top w:type="dxa" w:w="80"/>
              <w:left w:type="dxa" w:w="100"/>
              <w:bottom w:type="dxa" w:w="80"/>
              <w:right w:type="dxa" w:w="100"/>
            </w:tcMar>
          </w:tcPr>
          <w:p>
            <w:r>
              <w:rPr>
                <w:b w:val="false"/>
                <w:bCs w:val="false"/>
                <w:color w:val="000000"/>
                <w:sz w:val="18"/>
                <w:szCs w:val="18"/>
              </w:rPr>
              <w:t xml:space="preserve">A Novel Methodology for Thermal Analysis of a 3D Memory Integration</w:t>
            </w:r>
          </w:p>
        </w:tc>
        <w:tc>
          <w:tcPr>
            <w:tcW w:type="dxa" w:w="5300"/>
            <w:tcMar>
              <w:top w:type="dxa" w:w="80"/>
              <w:left w:type="dxa" w:w="100"/>
              <w:bottom w:type="dxa" w:w="80"/>
              <w:right w:type="dxa" w:w="100"/>
            </w:tcMar>
          </w:tcPr>
          <w:p>
            <w:r>
              <w:rPr>
                <w:b w:val="false"/>
                <w:bCs w:val="false"/>
                <w:color w:val="000000"/>
                <w:sz w:val="18"/>
                <w:szCs w:val="18"/>
              </w:rPr>
              <w:t xml:space="preserve">The semiconductor industry is reaching a fascinating confluence in several evolutionary trends that will likely lead to a number of revolutionary changes in the design, implementation, scaling, and the use of computer...</w:t>
            </w:r>
          </w:p>
        </w:tc>
      </w:tr>
      <w:tr>
        <w:tc>
          <w:tcPr>
            <w:tcW w:type="dxa" w:w="1100"/>
            <w:shd w:fill="F2F2F2" w:val="clear"/>
            <w:tcMar>
              <w:top w:type="dxa" w:w="80"/>
              <w:left w:type="dxa" w:w="100"/>
              <w:bottom w:type="dxa" w:w="80"/>
              <w:right w:type="dxa" w:w="100"/>
            </w:tcMar>
          </w:tcPr>
          <w:p>
            <w:r>
              <w:rPr>
                <w:b w:val="false"/>
                <w:bCs w:val="false"/>
                <w:color w:val="000000"/>
                <w:sz w:val="18"/>
                <w:szCs w:val="18"/>
              </w:rPr>
              <w:t xml:space="preserve">630234</w:t>
            </w:r>
          </w:p>
        </w:tc>
        <w:tc>
          <w:tcPr>
            <w:tcW w:type="dxa" w:w="2900"/>
            <w:shd w:fill="F2F2F2" w:val="clear"/>
            <w:tcMar>
              <w:top w:type="dxa" w:w="80"/>
              <w:left w:type="dxa" w:w="100"/>
              <w:bottom w:type="dxa" w:w="80"/>
              <w:right w:type="dxa" w:w="100"/>
            </w:tcMar>
          </w:tcPr>
          <w:p>
            <w:r>
              <w:rPr>
                <w:b w:val="false"/>
                <w:bCs w:val="false"/>
                <w:color w:val="000000"/>
                <w:sz w:val="18"/>
                <w:szCs w:val="18"/>
              </w:rPr>
              <w:t xml:space="preserve">Spreadsheets on the Move: An Evaluation of Mobile Spreadsheets</w:t>
            </w:r>
          </w:p>
        </w:tc>
        <w:tc>
          <w:tcPr>
            <w:tcW w:type="dxa" w:w="5300"/>
            <w:shd w:fill="F2F2F2" w:val="clear"/>
            <w:tcMar>
              <w:top w:type="dxa" w:w="80"/>
              <w:left w:type="dxa" w:w="100"/>
              <w:bottom w:type="dxa" w:w="80"/>
              <w:right w:type="dxa" w:w="100"/>
            </w:tcMar>
          </w:tcPr>
          <w:p>
            <w:r>
              <w:rPr>
                <w:b w:val="false"/>
                <w:bCs w:val="false"/>
                <w:color w:val="000000"/>
                <w:sz w:val="18"/>
                <w:szCs w:val="18"/>
              </w:rPr>
              <w:t xml:space="preserve">The power of mobile devices has increased dramatically in the last few years. These devices are becoming more sophisticated allowing users to accomplish a wide variety of tasks while on the move...</w:t>
            </w:r>
          </w:p>
        </w:tc>
      </w:tr>
      <w:tr>
        <w:tc>
          <w:tcPr>
            <w:tcW w:type="dxa" w:w="1100"/>
            <w:tcMar>
              <w:top w:type="dxa" w:w="80"/>
              <w:left w:type="dxa" w:w="100"/>
              <w:bottom w:type="dxa" w:w="80"/>
              <w:right w:type="dxa" w:w="100"/>
            </w:tcMar>
          </w:tcPr>
          <w:p>
            <w:r>
              <w:rPr>
                <w:b w:val="false"/>
                <w:bCs w:val="false"/>
                <w:color w:val="000000"/>
                <w:sz w:val="18"/>
                <w:szCs w:val="18"/>
              </w:rPr>
              <w:t xml:space="preserve">803423</w:t>
            </w:r>
          </w:p>
        </w:tc>
        <w:tc>
          <w:tcPr>
            <w:tcW w:type="dxa" w:w="2900"/>
            <w:tcMar>
              <w:top w:type="dxa" w:w="80"/>
              <w:left w:type="dxa" w:w="100"/>
              <w:bottom w:type="dxa" w:w="80"/>
              <w:right w:type="dxa" w:w="100"/>
            </w:tcMar>
          </w:tcPr>
          <w:p>
            <w:r>
              <w:rPr>
                <w:b w:val="false"/>
                <w:bCs w:val="false"/>
                <w:color w:val="000000"/>
                <w:sz w:val="18"/>
                <w:szCs w:val="18"/>
              </w:rPr>
              <w:t xml:space="preserve">Multi-View Metric Learning for Multi-View Video Summarization</w:t>
            </w:r>
          </w:p>
        </w:tc>
        <w:tc>
          <w:tcPr>
            <w:tcW w:type="dxa" w:w="5300"/>
            <w:tcMar>
              <w:top w:type="dxa" w:w="80"/>
              <w:left w:type="dxa" w:w="100"/>
              <w:bottom w:type="dxa" w:w="80"/>
              <w:right w:type="dxa" w:w="100"/>
            </w:tcMar>
          </w:tcPr>
          <w:p>
            <w:r>
              <w:rPr>
                <w:b w:val="false"/>
                <w:bCs w:val="false"/>
                <w:color w:val="000000"/>
                <w:sz w:val="18"/>
                <w:szCs w:val="18"/>
              </w:rPr>
              <w:t xml:space="preserve">Traditional methods on video summarization are designed to generate summaries for single-view video records; and thus they cannot fully exploit the redundancy in multi-view video records...</w:t>
            </w:r>
          </w:p>
        </w:tc>
      </w:tr>
      <w:tr>
        <w:tc>
          <w:tcPr>
            <w:tcW w:type="dxa" w:w="1100"/>
            <w:shd w:fill="F2F2F2" w:val="clear"/>
            <w:tcMar>
              <w:top w:type="dxa" w:w="80"/>
              <w:left w:type="dxa" w:w="100"/>
              <w:bottom w:type="dxa" w:w="80"/>
              <w:right w:type="dxa" w:w="100"/>
            </w:tcMar>
          </w:tcPr>
          <w:p>
            <w:r>
              <w:rPr>
                <w:b w:val="false"/>
                <w:bCs w:val="false"/>
                <w:color w:val="000000"/>
                <w:sz w:val="18"/>
                <w:szCs w:val="18"/>
              </w:rPr>
              <w:t xml:space="preserve">1102481</w:t>
            </w:r>
          </w:p>
        </w:tc>
        <w:tc>
          <w:tcPr>
            <w:tcW w:type="dxa" w:w="2900"/>
            <w:shd w:fill="F2F2F2" w:val="clear"/>
            <w:tcMar>
              <w:top w:type="dxa" w:w="80"/>
              <w:left w:type="dxa" w:w="100"/>
              <w:bottom w:type="dxa" w:w="80"/>
              <w:right w:type="dxa" w:w="100"/>
            </w:tcMar>
          </w:tcPr>
          <w:p>
            <w:r>
              <w:rPr>
                <w:b w:val="false"/>
                <w:bCs w:val="false"/>
                <w:color w:val="000000"/>
                <w:sz w:val="18"/>
                <w:szCs w:val="18"/>
              </w:rPr>
              <w:t xml:space="preserve">Big Data Analytics in Future Internet of Things</w:t>
            </w:r>
          </w:p>
        </w:tc>
        <w:tc>
          <w:tcPr>
            <w:tcW w:type="dxa" w:w="5300"/>
            <w:shd w:fill="F2F2F2" w:val="clear"/>
            <w:tcMar>
              <w:top w:type="dxa" w:w="80"/>
              <w:left w:type="dxa" w:w="100"/>
              <w:bottom w:type="dxa" w:w="80"/>
              <w:right w:type="dxa" w:w="100"/>
            </w:tcMar>
          </w:tcPr>
          <w:p>
            <w:r>
              <w:rPr>
                <w:b w:val="false"/>
                <w:bCs w:val="false"/>
                <w:color w:val="000000"/>
                <w:sz w:val="18"/>
                <w:szCs w:val="18"/>
              </w:rPr>
              <w:t xml:space="preserve">Current research on Internet of Things (IoT) mainly focuses on how to enable general objects to see, hear, and smell the physical world for themselves, and make them connected to share observations...</w:t>
            </w:r>
          </w:p>
        </w:tc>
      </w:tr>
      <w:tr>
        <w:tc>
          <w:tcPr>
            <w:tcW w:type="dxa" w:w="1100"/>
            <w:tcMar>
              <w:top w:type="dxa" w:w="80"/>
              <w:left w:type="dxa" w:w="100"/>
              <w:bottom w:type="dxa" w:w="80"/>
              <w:right w:type="dxa" w:w="100"/>
            </w:tcMar>
          </w:tcPr>
          <w:p>
            <w:r>
              <w:rPr>
                <w:b w:val="false"/>
                <w:bCs w:val="false"/>
                <w:color w:val="000000"/>
                <w:sz w:val="18"/>
                <w:szCs w:val="18"/>
              </w:rPr>
              <w:t xml:space="preserve">1532644</w:t>
            </w:r>
          </w:p>
        </w:tc>
        <w:tc>
          <w:tcPr>
            <w:tcW w:type="dxa" w:w="2900"/>
            <w:tcMar>
              <w:top w:type="dxa" w:w="80"/>
              <w:left w:type="dxa" w:w="100"/>
              <w:bottom w:type="dxa" w:w="80"/>
              <w:right w:type="dxa" w:w="100"/>
            </w:tcMar>
          </w:tcPr>
          <w:p>
            <w:r>
              <w:rPr>
                <w:b w:val="false"/>
                <w:bCs w:val="false"/>
                <w:color w:val="000000"/>
                <w:sz w:val="18"/>
                <w:szCs w:val="18"/>
              </w:rPr>
              <w:t xml:space="preserve">Machine Learner for Automated Reasoning 0.4 and 0.5</w:t>
            </w:r>
          </w:p>
        </w:tc>
        <w:tc>
          <w:tcPr>
            <w:tcW w:type="dxa" w:w="5300"/>
            <w:tcMar>
              <w:top w:type="dxa" w:w="80"/>
              <w:left w:type="dxa" w:w="100"/>
              <w:bottom w:type="dxa" w:w="80"/>
              <w:right w:type="dxa" w:w="100"/>
            </w:tcMar>
          </w:tcPr>
          <w:p>
            <w:r>
              <w:rPr>
                <w:b w:val="false"/>
                <w:bCs w:val="false"/>
                <w:color w:val="000000"/>
                <w:sz w:val="18"/>
                <w:szCs w:val="18"/>
              </w:rPr>
              <w:t xml:space="preserve">Machine Learner for Automated Reasoning (MaLARea) is a learning and reasoning system for proving in large formal libraries where thousands of theorems are available when attacking a new conjecture...</w:t>
            </w:r>
          </w:p>
        </w:tc>
      </w:tr>
    </w:tbl>
    <w:p>
      <w:pPr>
        <w:spacing w:after="140"/>
      </w:pPr>
      <w:r>
        <w:rPr>
          <w:i/>
          <w:iCs/>
          <w:sz w:val="21"/>
          <w:szCs w:val="21"/>
        </w:rPr>
        <w:t xml:space="preserve">(The subject-area label and the citation links for these same papers ship in the same official download - we didn't reprint them here since they're just ID numbers, not readable text.)</w:t>
      </w:r>
    </w:p>
    <w:p>
      <w:pPr>
        <w:spacing w:after="60"/>
      </w:pPr>
      <w:r>
        <w:rPr>
          <w:b/>
          <w:bCs/>
          <w:color w:val="2E7D32"/>
          <w:sz w:val="21"/>
          <w:szCs w:val="21"/>
        </w:rPr>
        <w:t xml:space="preserve">+  </w:t>
      </w:r>
      <w:r>
        <w:rPr>
          <w:sz w:val="21"/>
          <w:szCs w:val="21"/>
        </w:rPr>
        <w:t xml:space="preserve">Downloads in one line, right now - no waiting, no email, no separate files to join together. There's already a well-known published experiment (called TAPE) that keeps the graph model exactly the same and only adds LLM-generated explanations on top - accuracy goes from about 71% to the high 70s%. That's a clean, already-proven demonstration of exactly our hypothesis: graph + LLM beats graph alone.</w:t>
      </w:r>
    </w:p>
    <w:p>
      <w:pPr>
        <w:spacing w:after="60"/>
      </w:pPr>
      <w:r>
        <w:rPr>
          <w:b/>
          <w:bCs/>
          <w:color w:val="B71C1C"/>
          <w:sz w:val="21"/>
          <w:szCs w:val="21"/>
        </w:rPr>
        <w:t xml:space="preserve">-  </w:t>
      </w:r>
      <w:r>
        <w:rPr>
          <w:sz w:val="21"/>
          <w:szCs w:val="21"/>
        </w:rPr>
        <w:t xml:space="preserve">Because it's such a popular benchmark, several other GNN+LLM fusion methods already report numbers on it, so we'd need to be clear about what AGAF and the feedback loop add on top. Also the text is dry academic writing (titles/abstracts) - a narrower, less "human" register than security logs, reviews, or medical notes.</w:t>
      </w:r>
    </w:p>
    <w:p>
      <w:pPr>
        <w:pStyle w:val="Heading2"/>
        <w:spacing w:after="120" w:before="240"/>
      </w:pPr>
      <w:r>
        <w:rPr>
          <w:b/>
          <w:bCs/>
          <w:color w:val="1F3864"/>
          <w:sz w:val="24"/>
          <w:szCs w:val="24"/>
        </w:rPr>
        <w:t xml:space="preserve">4.3  YelpChi &amp; Amazon Fraud Graph - fake review detection</w:t>
      </w:r>
    </w:p>
    <w:p>
      <w:pPr>
        <w:spacing w:after="140"/>
      </w:pPr>
      <w:r>
        <w:rPr>
          <w:i w:val="false"/>
          <w:iCs w:val="false"/>
          <w:sz w:val="21"/>
          <w:szCs w:val="21"/>
        </w:rPr>
        <w:t xml:space="preserve">What it is: reviews and reviewers on Yelp and Amazon, connected by things like "reviewed the same product" or "posted around the same time," labeled as genuine or fake.</w:t>
      </w:r>
    </w:p>
    <w:p>
      <w:pPr>
        <w:spacing w:after="100"/>
      </w:pPr>
      <w:r>
        <w:rPr>
          <w:b/>
          <w:bCs/>
          <w:color w:val="1F3864"/>
          <w:sz w:val="21"/>
          <w:szCs w:val="21"/>
        </w:rPr>
        <w:t xml:space="preserve">Sample rows: not fully available in this session.</w:t>
      </w:r>
    </w:p>
    <w:p>
      <w:pPr>
        <w:spacing w:after="140"/>
      </w:pPr>
      <w:r>
        <w:rPr>
          <w:i/>
          <w:iCs/>
          <w:sz w:val="21"/>
          <w:szCs w:val="21"/>
        </w:rPr>
        <w:t xml:space="preserve">The original review text is behind an email request to the dataset's authors, same as TwiBot-22. The ready-to-use graph version (no request needed) skips the text entirely and ships only pre-computed numbers - and that file is a ~200MB binary we couldn't fully pull down here. So below is the real, documented shape of a row, not an actual download: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864" w:val="clear"/>
            <w:tcMar>
              <w:top w:type="dxa" w:w="80"/>
              <w:left w:type="dxa" w:w="100"/>
              <w:bottom w:type="dxa" w:w="80"/>
              <w:right w:type="dxa" w:w="100"/>
            </w:tcMar>
          </w:tcPr>
          <w:p>
            <w:r>
              <w:rPr>
                <w:b/>
                <w:bCs/>
                <w:color w:val="FFFFFF"/>
                <w:sz w:val="18"/>
                <w:szCs w:val="18"/>
              </w:rPr>
              <w:t xml:space="preserve">Field</w:t>
            </w:r>
          </w:p>
        </w:tc>
        <w:tc>
          <w:tcPr>
            <w:tcW w:type="dxa" w:w="6400"/>
            <w:shd w:fill="1F3864" w:val="clear"/>
            <w:tcMar>
              <w:top w:type="dxa" w:w="80"/>
              <w:left w:type="dxa" w:w="100"/>
              <w:bottom w:type="dxa" w:w="80"/>
              <w:right w:type="dxa" w:w="100"/>
            </w:tcMar>
          </w:tcPr>
          <w:p>
            <w:r>
              <w:rPr>
                <w:b/>
                <w:bCs/>
                <w:color w:val="FFFFFF"/>
                <w:sz w:val="18"/>
                <w:szCs w:val="18"/>
              </w:rPr>
              <w:t xml:space="preserve">What it holds</w:t>
            </w:r>
          </w:p>
        </w:tc>
      </w:tr>
      <w:tr>
        <w:tc>
          <w:tcPr>
            <w:tcW w:type="dxa" w:w="3000"/>
            <w:tcMar>
              <w:top w:type="dxa" w:w="80"/>
              <w:left w:type="dxa" w:w="100"/>
              <w:bottom w:type="dxa" w:w="80"/>
              <w:right w:type="dxa" w:w="100"/>
            </w:tcMar>
          </w:tcPr>
          <w:p>
            <w:r>
              <w:rPr>
                <w:b w:val="false"/>
                <w:bCs w:val="false"/>
                <w:color w:val="000000"/>
                <w:sz w:val="18"/>
                <w:szCs w:val="18"/>
              </w:rPr>
              <w:t xml:space="preserve">node feature vector</w:t>
            </w:r>
          </w:p>
        </w:tc>
        <w:tc>
          <w:tcPr>
            <w:tcW w:type="dxa" w:w="6400"/>
            <w:tcMar>
              <w:top w:type="dxa" w:w="80"/>
              <w:left w:type="dxa" w:w="100"/>
              <w:bottom w:type="dxa" w:w="80"/>
              <w:right w:type="dxa" w:w="100"/>
            </w:tcMar>
          </w:tcPr>
          <w:p>
            <w:r>
              <w:rPr>
                <w:b w:val="false"/>
                <w:bCs w:val="false"/>
                <w:color w:val="000000"/>
                <w:sz w:val="18"/>
                <w:szCs w:val="18"/>
              </w:rPr>
              <w:t xml:space="preserve">32 numbers (YelpChi) or 25 numbers (Amazon) - handcrafted stats, not raw text</w:t>
            </w:r>
          </w:p>
        </w:tc>
      </w:tr>
      <w:tr>
        <w:tc>
          <w:tcPr>
            <w:tcW w:type="dxa" w:w="3000"/>
            <w:shd w:fill="F2F2F2" w:val="clear"/>
            <w:tcMar>
              <w:top w:type="dxa" w:w="80"/>
              <w:left w:type="dxa" w:w="100"/>
              <w:bottom w:type="dxa" w:w="80"/>
              <w:right w:type="dxa" w:w="100"/>
            </w:tcMar>
          </w:tcPr>
          <w:p>
            <w:r>
              <w:rPr>
                <w:b w:val="false"/>
                <w:bCs w:val="false"/>
                <w:color w:val="000000"/>
                <w:sz w:val="18"/>
                <w:szCs w:val="18"/>
              </w:rPr>
              <w:t xml:space="preserve">3 relation types</w:t>
            </w:r>
          </w:p>
        </w:tc>
        <w:tc>
          <w:tcPr>
            <w:tcW w:type="dxa" w:w="6400"/>
            <w:shd w:fill="F2F2F2" w:val="clear"/>
            <w:tcMar>
              <w:top w:type="dxa" w:w="80"/>
              <w:left w:type="dxa" w:w="100"/>
              <w:bottom w:type="dxa" w:w="80"/>
              <w:right w:type="dxa" w:w="100"/>
            </w:tcMar>
          </w:tcPr>
          <w:p>
            <w:r>
              <w:rPr>
                <w:b w:val="false"/>
                <w:bCs w:val="false"/>
                <w:color w:val="000000"/>
                <w:sz w:val="18"/>
                <w:szCs w:val="18"/>
              </w:rPr>
              <w:t xml:space="preserve">e.g. "same user", "same product + rating", "same product + month"</w:t>
            </w:r>
          </w:p>
        </w:tc>
      </w:tr>
      <w:tr>
        <w:tc>
          <w:tcPr>
            <w:tcW w:type="dxa" w:w="3000"/>
            <w:tcMar>
              <w:top w:type="dxa" w:w="80"/>
              <w:left w:type="dxa" w:w="100"/>
              <w:bottom w:type="dxa" w:w="80"/>
              <w:right w:type="dxa" w:w="100"/>
            </w:tcMar>
          </w:tcPr>
          <w:p>
            <w:r>
              <w:rPr>
                <w:b w:val="false"/>
                <w:bCs w:val="false"/>
                <w:color w:val="000000"/>
                <w:sz w:val="18"/>
                <w:szCs w:val="18"/>
              </w:rPr>
              <w:t xml:space="preserve">label</w:t>
            </w:r>
          </w:p>
        </w:tc>
        <w:tc>
          <w:tcPr>
            <w:tcW w:type="dxa" w:w="6400"/>
            <w:tcMar>
              <w:top w:type="dxa" w:w="80"/>
              <w:left w:type="dxa" w:w="100"/>
              <w:bottom w:type="dxa" w:w="80"/>
              <w:right w:type="dxa" w:w="100"/>
            </w:tcMar>
          </w:tcPr>
          <w:p>
            <w:r>
              <w:rPr>
                <w:b w:val="false"/>
                <w:bCs w:val="false"/>
                <w:color w:val="000000"/>
                <w:sz w:val="18"/>
                <w:szCs w:val="18"/>
              </w:rPr>
              <w:t xml:space="preserve">0 = genuine review/reviewer, 1 = fraudulent</w:t>
            </w:r>
          </w:p>
        </w:tc>
      </w:tr>
    </w:tbl>
    <w:p>
      <w:pPr>
        <w:spacing w:after="140"/>
      </w:pPr>
      <w:r>
        <w:rPr>
          <w:i w:val="false"/>
          <w:iCs w:val="false"/>
          <w:sz w:val="21"/>
          <w:szCs w:val="21"/>
        </w:rPr>
        <w:t xml:space="preserve"/>
      </w:r>
    </w:p>
    <w:p>
      <w:pPr>
        <w:spacing w:after="60"/>
      </w:pPr>
      <w:r>
        <w:rPr>
          <w:b/>
          <w:bCs/>
          <w:color w:val="2E7D32"/>
          <w:sz w:val="21"/>
          <w:szCs w:val="21"/>
        </w:rPr>
        <w:t xml:space="preserve">+  </w:t>
      </w:r>
      <w:r>
        <w:rPr>
          <w:sz w:val="21"/>
          <w:szCs w:val="21"/>
        </w:rPr>
        <w:t xml:space="preserve">This is the cleanest case for "the graph actually matters, not just helps." Fraudsters deliberately write reviews that read as normal - the giveaway is relational (repeated pairings, suspicious timing), not the text itself. That's exactly the kind of result that makes a strong instructor-facing story.</w:t>
      </w:r>
    </w:p>
    <w:p>
      <w:pPr>
        <w:spacing w:after="60"/>
      </w:pPr>
      <w:r>
        <w:rPr>
          <w:b/>
          <w:bCs/>
          <w:color w:val="B71C1C"/>
          <w:sz w:val="21"/>
          <w:szCs w:val="21"/>
        </w:rPr>
        <w:t xml:space="preserve">-  </w:t>
      </w:r>
      <w:r>
        <w:rPr>
          <w:sz w:val="21"/>
          <w:szCs w:val="21"/>
        </w:rPr>
        <w:t xml:space="preserve">The easy-to-download version has no real review text at all, only numbers - getting genuine text back means matching rows to the original 2015 release by hand, which is extra setup work. Both graphs are also fairly small next to the other options here.</w:t>
      </w:r>
    </w:p>
    <w:p>
      <w:pPr>
        <w:pStyle w:val="Heading2"/>
        <w:spacing w:after="120" w:before="240"/>
      </w:pPr>
      <w:r>
        <w:rPr>
          <w:b/>
          <w:bCs/>
          <w:color w:val="1F3864"/>
          <w:sz w:val="24"/>
          <w:szCs w:val="24"/>
        </w:rPr>
        <w:t xml:space="preserve">4.4  PrimeKG - a medical knowledge graph</w:t>
      </w:r>
    </w:p>
    <w:p>
      <w:pPr>
        <w:spacing w:after="140"/>
      </w:pPr>
      <w:r>
        <w:rPr>
          <w:i w:val="false"/>
          <w:iCs w:val="false"/>
          <w:sz w:val="21"/>
          <w:szCs w:val="21"/>
        </w:rPr>
        <w:t xml:space="preserve">What it is: a large medical knowledge graph linking drugs, diseases, genes, and symptoms. The task: for a given drug and disease, is the drug an indication (it treats it), a contraindication (it's dangerous to combine), or off-label (used for it unofficially)?</w:t>
      </w:r>
    </w:p>
    <w:p>
      <w:pPr>
        <w:spacing w:after="100"/>
      </w:pPr>
      <w:r>
        <w:rPr>
          <w:b/>
          <w:bCs/>
          <w:color w:val="1F3864"/>
          <w:sz w:val="21"/>
          <w:szCs w:val="21"/>
        </w:rPr>
        <w:t xml:space="preserve">Sample rows - these are real rows, pulled directly from the official files:</w:t>
      </w:r>
    </w:p>
    <w:p>
      <w:pPr>
        <w:spacing w:after="140"/>
      </w:pPr>
      <w:r>
        <w:rPr>
          <w:i/>
          <w:iCs/>
          <w:sz w:val="21"/>
          <w:szCs w:val="21"/>
        </w:rPr>
        <w:t xml:space="preserve">Text side (what a drug is used for - real "indication" descriptions from the dataset):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5400"/>
      </w:tblGrid>
      <w:tr>
        <w:trPr>
          <w:tblHeader/>
        </w:trPr>
        <w:tc>
          <w:tcPr>
            <w:tcW w:type="dxa" w:w="1000"/>
            <w:shd w:fill="1F3864" w:val="clear"/>
            <w:tcMar>
              <w:top w:type="dxa" w:w="80"/>
              <w:left w:type="dxa" w:w="100"/>
              <w:bottom w:type="dxa" w:w="80"/>
              <w:right w:type="dxa" w:w="100"/>
            </w:tcMar>
          </w:tcPr>
          <w:p>
            <w:r>
              <w:rPr>
                <w:b/>
                <w:bCs/>
                <w:color w:val="FFFFFF"/>
                <w:sz w:val="18"/>
                <w:szCs w:val="18"/>
              </w:rPr>
              <w:t xml:space="preserve">Node ID</w:t>
            </w:r>
          </w:p>
        </w:tc>
        <w:tc>
          <w:tcPr>
            <w:tcW w:type="dxa" w:w="1400"/>
            <w:shd w:fill="1F3864" w:val="clear"/>
            <w:tcMar>
              <w:top w:type="dxa" w:w="80"/>
              <w:left w:type="dxa" w:w="100"/>
              <w:bottom w:type="dxa" w:w="80"/>
              <w:right w:type="dxa" w:w="100"/>
            </w:tcMar>
          </w:tcPr>
          <w:p>
            <w:r>
              <w:rPr>
                <w:b/>
                <w:bCs/>
                <w:color w:val="FFFFFF"/>
                <w:sz w:val="18"/>
                <w:szCs w:val="18"/>
              </w:rPr>
              <w:t xml:space="preserve">DrugBank ID</w:t>
            </w:r>
          </w:p>
        </w:tc>
        <w:tc>
          <w:tcPr>
            <w:tcW w:type="dxa" w:w="1600"/>
            <w:shd w:fill="1F3864" w:val="clear"/>
            <w:tcMar>
              <w:top w:type="dxa" w:w="80"/>
              <w:left w:type="dxa" w:w="100"/>
              <w:bottom w:type="dxa" w:w="80"/>
              <w:right w:type="dxa" w:w="100"/>
            </w:tcMar>
          </w:tcPr>
          <w:p>
            <w:r>
              <w:rPr>
                <w:b/>
                <w:bCs/>
                <w:color w:val="FFFFFF"/>
                <w:sz w:val="18"/>
                <w:szCs w:val="18"/>
              </w:rPr>
              <w:t xml:space="preserve">Drug</w:t>
            </w:r>
          </w:p>
        </w:tc>
        <w:tc>
          <w:tcPr>
            <w:tcW w:type="dxa" w:w="5400"/>
            <w:shd w:fill="1F3864" w:val="clear"/>
            <w:tcMar>
              <w:top w:type="dxa" w:w="80"/>
              <w:left w:type="dxa" w:w="100"/>
              <w:bottom w:type="dxa" w:w="80"/>
              <w:right w:type="dxa" w:w="100"/>
            </w:tcMar>
          </w:tcPr>
          <w:p>
            <w:r>
              <w:rPr>
                <w:b/>
                <w:bCs/>
                <w:color w:val="FFFFFF"/>
                <w:sz w:val="18"/>
                <w:szCs w:val="18"/>
              </w:rPr>
              <w:t xml:space="preserve">What it's used for (real text from the dataset)</w:t>
            </w:r>
          </w:p>
        </w:tc>
      </w:tr>
      <w:tr>
        <w:tc>
          <w:tcPr>
            <w:tcW w:type="dxa" w:w="1000"/>
            <w:tcMar>
              <w:top w:type="dxa" w:w="80"/>
              <w:left w:type="dxa" w:w="100"/>
              <w:bottom w:type="dxa" w:w="80"/>
              <w:right w:type="dxa" w:w="100"/>
            </w:tcMar>
          </w:tcPr>
          <w:p>
            <w:r>
              <w:rPr>
                <w:b w:val="false"/>
                <w:bCs w:val="false"/>
                <w:color w:val="000000"/>
                <w:sz w:val="18"/>
                <w:szCs w:val="18"/>
              </w:rPr>
              <w:t xml:space="preserve">14012</w:t>
            </w:r>
          </w:p>
        </w:tc>
        <w:tc>
          <w:tcPr>
            <w:tcW w:type="dxa" w:w="1400"/>
            <w:tcMar>
              <w:top w:type="dxa" w:w="80"/>
              <w:left w:type="dxa" w:w="100"/>
              <w:bottom w:type="dxa" w:w="80"/>
              <w:right w:type="dxa" w:w="100"/>
            </w:tcMar>
          </w:tcPr>
          <w:p>
            <w:r>
              <w:rPr>
                <w:b w:val="false"/>
                <w:bCs w:val="false"/>
                <w:color w:val="000000"/>
                <w:sz w:val="18"/>
                <w:szCs w:val="18"/>
              </w:rPr>
              <w:t xml:space="preserve">DB09130</w:t>
            </w:r>
          </w:p>
        </w:tc>
        <w:tc>
          <w:tcPr>
            <w:tcW w:type="dxa" w:w="1600"/>
            <w:tcMar>
              <w:top w:type="dxa" w:w="80"/>
              <w:left w:type="dxa" w:w="100"/>
              <w:bottom w:type="dxa" w:w="80"/>
              <w:right w:type="dxa" w:w="100"/>
            </w:tcMar>
          </w:tcPr>
          <w:p>
            <w:r>
              <w:rPr>
                <w:b w:val="false"/>
                <w:bCs w:val="false"/>
                <w:color w:val="000000"/>
                <w:sz w:val="18"/>
                <w:szCs w:val="18"/>
              </w:rPr>
              <w:t xml:space="preserve">Copper</w:t>
            </w:r>
          </w:p>
        </w:tc>
        <w:tc>
          <w:tcPr>
            <w:tcW w:type="dxa" w:w="5400"/>
            <w:tcMar>
              <w:top w:type="dxa" w:w="80"/>
              <w:left w:type="dxa" w:w="100"/>
              <w:bottom w:type="dxa" w:w="80"/>
              <w:right w:type="dxa" w:w="100"/>
            </w:tcMar>
          </w:tcPr>
          <w:p>
            <w:r>
              <w:rPr>
                <w:b w:val="false"/>
                <w:bCs w:val="false"/>
                <w:color w:val="000000"/>
                <w:sz w:val="18"/>
                <w:szCs w:val="18"/>
              </w:rPr>
              <w:t xml:space="preserve">For use in the supplementation of total parenteral nutrition and in contraception with intrauterine devices.</w:t>
            </w:r>
          </w:p>
        </w:tc>
      </w:tr>
      <w:tr>
        <w:tc>
          <w:tcPr>
            <w:tcW w:type="dxa" w:w="1000"/>
            <w:shd w:fill="F2F2F2" w:val="clear"/>
            <w:tcMar>
              <w:top w:type="dxa" w:w="80"/>
              <w:left w:type="dxa" w:w="100"/>
              <w:bottom w:type="dxa" w:w="80"/>
              <w:right w:type="dxa" w:w="100"/>
            </w:tcMar>
          </w:tcPr>
          <w:p>
            <w:r>
              <w:rPr>
                <w:b w:val="false"/>
                <w:bCs w:val="false"/>
                <w:color w:val="000000"/>
                <w:sz w:val="18"/>
                <w:szCs w:val="18"/>
              </w:rPr>
              <w:t xml:space="preserve">14013</w:t>
            </w:r>
          </w:p>
        </w:tc>
        <w:tc>
          <w:tcPr>
            <w:tcW w:type="dxa" w:w="1400"/>
            <w:shd w:fill="F2F2F2" w:val="clear"/>
            <w:tcMar>
              <w:top w:type="dxa" w:w="80"/>
              <w:left w:type="dxa" w:w="100"/>
              <w:bottom w:type="dxa" w:w="80"/>
              <w:right w:type="dxa" w:w="100"/>
            </w:tcMar>
          </w:tcPr>
          <w:p>
            <w:r>
              <w:rPr>
                <w:b w:val="false"/>
                <w:bCs w:val="false"/>
                <w:color w:val="000000"/>
                <w:sz w:val="18"/>
                <w:szCs w:val="18"/>
              </w:rPr>
              <w:t xml:space="preserve">DB09140</w:t>
            </w:r>
          </w:p>
        </w:tc>
        <w:tc>
          <w:tcPr>
            <w:tcW w:type="dxa" w:w="1600"/>
            <w:shd w:fill="F2F2F2" w:val="clear"/>
            <w:tcMar>
              <w:top w:type="dxa" w:w="80"/>
              <w:left w:type="dxa" w:w="100"/>
              <w:bottom w:type="dxa" w:w="80"/>
              <w:right w:type="dxa" w:w="100"/>
            </w:tcMar>
          </w:tcPr>
          <w:p>
            <w:r>
              <w:rPr>
                <w:b w:val="false"/>
                <w:bCs w:val="false"/>
                <w:color w:val="000000"/>
                <w:sz w:val="18"/>
                <w:szCs w:val="18"/>
              </w:rPr>
              <w:t xml:space="preserve">Oxygen</w:t>
            </w:r>
          </w:p>
        </w:tc>
        <w:tc>
          <w:tcPr>
            <w:tcW w:type="dxa" w:w="5400"/>
            <w:shd w:fill="F2F2F2" w:val="clear"/>
            <w:tcMar>
              <w:top w:type="dxa" w:w="80"/>
              <w:left w:type="dxa" w:w="100"/>
              <w:bottom w:type="dxa" w:w="80"/>
              <w:right w:type="dxa" w:w="100"/>
            </w:tcMar>
          </w:tcPr>
          <w:p>
            <w:r>
              <w:rPr>
                <w:b w:val="false"/>
                <w:bCs w:val="false"/>
                <w:color w:val="000000"/>
                <w:sz w:val="18"/>
                <w:szCs w:val="18"/>
              </w:rPr>
              <w:t xml:space="preserve">Oxygen therapy in clinical settings is used across diverse specialties, including various types of anoxia, hypoxia or dyspnea...</w:t>
            </w:r>
          </w:p>
        </w:tc>
      </w:tr>
      <w:tr>
        <w:tc>
          <w:tcPr>
            <w:tcW w:type="dxa" w:w="1000"/>
            <w:tcMar>
              <w:top w:type="dxa" w:w="80"/>
              <w:left w:type="dxa" w:w="100"/>
              <w:bottom w:type="dxa" w:w="80"/>
              <w:right w:type="dxa" w:w="100"/>
            </w:tcMar>
          </w:tcPr>
          <w:p>
            <w:r>
              <w:rPr>
                <w:b w:val="false"/>
                <w:bCs w:val="false"/>
                <w:color w:val="000000"/>
                <w:sz w:val="18"/>
                <w:szCs w:val="18"/>
              </w:rPr>
              <w:t xml:space="preserve">14014</w:t>
            </w:r>
          </w:p>
        </w:tc>
        <w:tc>
          <w:tcPr>
            <w:tcW w:type="dxa" w:w="1400"/>
            <w:tcMar>
              <w:top w:type="dxa" w:w="80"/>
              <w:left w:type="dxa" w:w="100"/>
              <w:bottom w:type="dxa" w:w="80"/>
              <w:right w:type="dxa" w:w="100"/>
            </w:tcMar>
          </w:tcPr>
          <w:p>
            <w:r>
              <w:rPr>
                <w:b w:val="false"/>
                <w:bCs w:val="false"/>
                <w:color w:val="000000"/>
                <w:sz w:val="18"/>
                <w:szCs w:val="18"/>
              </w:rPr>
              <w:t xml:space="preserve">DB00180</w:t>
            </w:r>
          </w:p>
        </w:tc>
        <w:tc>
          <w:tcPr>
            <w:tcW w:type="dxa" w:w="1600"/>
            <w:tcMar>
              <w:top w:type="dxa" w:w="80"/>
              <w:left w:type="dxa" w:w="100"/>
              <w:bottom w:type="dxa" w:w="80"/>
              <w:right w:type="dxa" w:w="100"/>
            </w:tcMar>
          </w:tcPr>
          <w:p>
            <w:r>
              <w:rPr>
                <w:b w:val="false"/>
                <w:bCs w:val="false"/>
                <w:color w:val="000000"/>
                <w:sz w:val="18"/>
                <w:szCs w:val="18"/>
              </w:rPr>
              <w:t xml:space="preserve">Flunisolide</w:t>
            </w:r>
          </w:p>
        </w:tc>
        <w:tc>
          <w:tcPr>
            <w:tcW w:type="dxa" w:w="5400"/>
            <w:tcMar>
              <w:top w:type="dxa" w:w="80"/>
              <w:left w:type="dxa" w:w="100"/>
              <w:bottom w:type="dxa" w:w="80"/>
              <w:right w:type="dxa" w:w="100"/>
            </w:tcMar>
          </w:tcPr>
          <w:p>
            <w:r>
              <w:rPr>
                <w:b w:val="false"/>
                <w:bCs w:val="false"/>
                <w:color w:val="000000"/>
                <w:sz w:val="18"/>
                <w:szCs w:val="18"/>
              </w:rPr>
              <w:t xml:space="preserve">For the maintenance treatment of asthma as a prophylactic therapy.</w:t>
            </w:r>
          </w:p>
        </w:tc>
      </w:tr>
      <w:tr>
        <w:tc>
          <w:tcPr>
            <w:tcW w:type="dxa" w:w="1000"/>
            <w:shd w:fill="F2F2F2" w:val="clear"/>
            <w:tcMar>
              <w:top w:type="dxa" w:w="80"/>
              <w:left w:type="dxa" w:w="100"/>
              <w:bottom w:type="dxa" w:w="80"/>
              <w:right w:type="dxa" w:w="100"/>
            </w:tcMar>
          </w:tcPr>
          <w:p>
            <w:r>
              <w:rPr>
                <w:b w:val="false"/>
                <w:bCs w:val="false"/>
                <w:color w:val="000000"/>
                <w:sz w:val="18"/>
                <w:szCs w:val="18"/>
              </w:rPr>
              <w:t xml:space="preserve">14015</w:t>
            </w:r>
          </w:p>
        </w:tc>
        <w:tc>
          <w:tcPr>
            <w:tcW w:type="dxa" w:w="1400"/>
            <w:shd w:fill="F2F2F2" w:val="clear"/>
            <w:tcMar>
              <w:top w:type="dxa" w:w="80"/>
              <w:left w:type="dxa" w:w="100"/>
              <w:bottom w:type="dxa" w:w="80"/>
              <w:right w:type="dxa" w:w="100"/>
            </w:tcMar>
          </w:tcPr>
          <w:p>
            <w:r>
              <w:rPr>
                <w:b w:val="false"/>
                <w:bCs w:val="false"/>
                <w:color w:val="000000"/>
                <w:sz w:val="18"/>
                <w:szCs w:val="18"/>
              </w:rPr>
              <w:t xml:space="preserve">DB00240</w:t>
            </w:r>
          </w:p>
        </w:tc>
        <w:tc>
          <w:tcPr>
            <w:tcW w:type="dxa" w:w="1600"/>
            <w:shd w:fill="F2F2F2" w:val="clear"/>
            <w:tcMar>
              <w:top w:type="dxa" w:w="80"/>
              <w:left w:type="dxa" w:w="100"/>
              <w:bottom w:type="dxa" w:w="80"/>
              <w:right w:type="dxa" w:w="100"/>
            </w:tcMar>
          </w:tcPr>
          <w:p>
            <w:r>
              <w:rPr>
                <w:b w:val="false"/>
                <w:bCs w:val="false"/>
                <w:color w:val="000000"/>
                <w:sz w:val="18"/>
                <w:szCs w:val="18"/>
              </w:rPr>
              <w:t xml:space="preserve">Alclometasone</w:t>
            </w:r>
          </w:p>
        </w:tc>
        <w:tc>
          <w:tcPr>
            <w:tcW w:type="dxa" w:w="5400"/>
            <w:shd w:fill="F2F2F2" w:val="clear"/>
            <w:tcMar>
              <w:top w:type="dxa" w:w="80"/>
              <w:left w:type="dxa" w:w="100"/>
              <w:bottom w:type="dxa" w:w="80"/>
              <w:right w:type="dxa" w:w="100"/>
            </w:tcMar>
          </w:tcPr>
          <w:p>
            <w:r>
              <w:rPr>
                <w:b w:val="false"/>
                <w:bCs w:val="false"/>
                <w:color w:val="000000"/>
                <w:sz w:val="18"/>
                <w:szCs w:val="18"/>
              </w:rPr>
              <w:t xml:space="preserve">For the relief of the inflammatory and pruritic manifestations of corticosteroid-responsive dermatoses.</w:t>
            </w:r>
          </w:p>
        </w:tc>
      </w:tr>
      <w:tr>
        <w:tc>
          <w:tcPr>
            <w:tcW w:type="dxa" w:w="1000"/>
            <w:tcMar>
              <w:top w:type="dxa" w:w="80"/>
              <w:left w:type="dxa" w:w="100"/>
              <w:bottom w:type="dxa" w:w="80"/>
              <w:right w:type="dxa" w:w="100"/>
            </w:tcMar>
          </w:tcPr>
          <w:p>
            <w:r>
              <w:rPr>
                <w:b w:val="false"/>
                <w:bCs w:val="false"/>
                <w:color w:val="000000"/>
                <w:sz w:val="18"/>
                <w:szCs w:val="18"/>
              </w:rPr>
              <w:t xml:space="preserve">14016</w:t>
            </w:r>
          </w:p>
        </w:tc>
        <w:tc>
          <w:tcPr>
            <w:tcW w:type="dxa" w:w="1400"/>
            <w:tcMar>
              <w:top w:type="dxa" w:w="80"/>
              <w:left w:type="dxa" w:w="100"/>
              <w:bottom w:type="dxa" w:w="80"/>
              <w:right w:type="dxa" w:w="100"/>
            </w:tcMar>
          </w:tcPr>
          <w:p>
            <w:r>
              <w:rPr>
                <w:b w:val="false"/>
                <w:bCs w:val="false"/>
                <w:color w:val="000000"/>
                <w:sz w:val="18"/>
                <w:szCs w:val="18"/>
              </w:rPr>
              <w:t xml:space="preserve">DB00253</w:t>
            </w:r>
          </w:p>
        </w:tc>
        <w:tc>
          <w:tcPr>
            <w:tcW w:type="dxa" w:w="1600"/>
            <w:tcMar>
              <w:top w:type="dxa" w:w="80"/>
              <w:left w:type="dxa" w:w="100"/>
              <w:bottom w:type="dxa" w:w="80"/>
              <w:right w:type="dxa" w:w="100"/>
            </w:tcMar>
          </w:tcPr>
          <w:p>
            <w:r>
              <w:rPr>
                <w:b w:val="false"/>
                <w:bCs w:val="false"/>
                <w:color w:val="000000"/>
                <w:sz w:val="18"/>
                <w:szCs w:val="18"/>
              </w:rPr>
              <w:t xml:space="preserve">Medrysone</w:t>
            </w:r>
          </w:p>
        </w:tc>
        <w:tc>
          <w:tcPr>
            <w:tcW w:type="dxa" w:w="5400"/>
            <w:tcMar>
              <w:top w:type="dxa" w:w="80"/>
              <w:left w:type="dxa" w:w="100"/>
              <w:bottom w:type="dxa" w:w="80"/>
              <w:right w:type="dxa" w:w="100"/>
            </w:tcMar>
          </w:tcPr>
          <w:p>
            <w:r>
              <w:rPr>
                <w:b w:val="false"/>
                <w:bCs w:val="false"/>
                <w:color w:val="000000"/>
                <w:sz w:val="18"/>
                <w:szCs w:val="18"/>
              </w:rPr>
              <w:t xml:space="preserve">For the treatment of allergic conjunctivitis, vernal conjunctivitis, episcleritis, and epinephrine sensitivity.</w:t>
            </w:r>
          </w:p>
        </w:tc>
      </w:tr>
    </w:tbl>
    <w:p>
      <w:pPr>
        <w:spacing w:after="140"/>
      </w:pPr>
      <w:r>
        <w:rPr>
          <w:i/>
          <w:iCs/>
          <w:sz w:val="21"/>
          <w:szCs w:val="21"/>
        </w:rPr>
        <w:t xml:space="preserve">Graph side (real edges from the same dataset, showing two of its ~30 relation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F3864" w:val="clear"/>
            <w:tcMar>
              <w:top w:type="dxa" w:w="80"/>
              <w:left w:type="dxa" w:w="100"/>
              <w:bottom w:type="dxa" w:w="80"/>
              <w:right w:type="dxa" w:w="100"/>
            </w:tcMar>
          </w:tcPr>
          <w:p>
            <w:r>
              <w:rPr>
                <w:b/>
                <w:bCs/>
                <w:color w:val="FFFFFF"/>
                <w:sz w:val="18"/>
                <w:szCs w:val="18"/>
              </w:rPr>
              <w:t xml:space="preserve">Relation type</w:t>
            </w:r>
          </w:p>
        </w:tc>
        <w:tc>
          <w:tcPr>
            <w:tcW w:type="dxa" w:w="3000"/>
            <w:shd w:fill="1F3864" w:val="clear"/>
            <w:tcMar>
              <w:top w:type="dxa" w:w="80"/>
              <w:left w:type="dxa" w:w="100"/>
              <w:bottom w:type="dxa" w:w="80"/>
              <w:right w:type="dxa" w:w="100"/>
            </w:tcMar>
          </w:tcPr>
          <w:p>
            <w:r>
              <w:rPr>
                <w:b/>
                <w:bCs/>
                <w:color w:val="FFFFFF"/>
                <w:sz w:val="18"/>
                <w:szCs w:val="18"/>
              </w:rPr>
              <w:t xml:space="preserve">Node A</w:t>
            </w:r>
          </w:p>
        </w:tc>
        <w:tc>
          <w:tcPr>
            <w:tcW w:type="dxa" w:w="3000"/>
            <w:shd w:fill="1F3864" w:val="clear"/>
            <w:tcMar>
              <w:top w:type="dxa" w:w="80"/>
              <w:left w:type="dxa" w:w="100"/>
              <w:bottom w:type="dxa" w:w="80"/>
              <w:right w:type="dxa" w:w="100"/>
            </w:tcMar>
          </w:tcPr>
          <w:p>
            <w:r>
              <w:rPr>
                <w:b/>
                <w:bCs/>
                <w:color w:val="FFFFFF"/>
                <w:sz w:val="18"/>
                <w:szCs w:val="18"/>
              </w:rPr>
              <w:t xml:space="preserve">Node B</w:t>
            </w:r>
          </w:p>
        </w:tc>
      </w:tr>
      <w:tr>
        <w:tc>
          <w:tcPr>
            <w:tcW w:type="dxa" w:w="3400"/>
            <w:tcMar>
              <w:top w:type="dxa" w:w="80"/>
              <w:left w:type="dxa" w:w="100"/>
              <w:bottom w:type="dxa" w:w="80"/>
              <w:right w:type="dxa" w:w="100"/>
            </w:tcMar>
          </w:tcPr>
          <w:p>
            <w:r>
              <w:rPr>
                <w:b w:val="false"/>
                <w:bCs w:val="false"/>
                <w:color w:val="000000"/>
                <w:sz w:val="18"/>
                <w:szCs w:val="18"/>
              </w:rPr>
              <w:t xml:space="preserve">drug_drug (synergistic interaction)</w:t>
            </w:r>
          </w:p>
        </w:tc>
        <w:tc>
          <w:tcPr>
            <w:tcW w:type="dxa" w:w="3000"/>
            <w:tcMar>
              <w:top w:type="dxa" w:w="80"/>
              <w:left w:type="dxa" w:w="100"/>
              <w:bottom w:type="dxa" w:w="80"/>
              <w:right w:type="dxa" w:w="100"/>
            </w:tcMar>
          </w:tcPr>
          <w:p>
            <w:r>
              <w:rPr>
                <w:b w:val="false"/>
                <w:bCs w:val="false"/>
                <w:color w:val="000000"/>
                <w:sz w:val="18"/>
                <w:szCs w:val="18"/>
              </w:rPr>
              <w:t xml:space="preserve">drug node #15534</w:t>
            </w:r>
          </w:p>
        </w:tc>
        <w:tc>
          <w:tcPr>
            <w:tcW w:type="dxa" w:w="3000"/>
            <w:tcMar>
              <w:top w:type="dxa" w:w="80"/>
              <w:left w:type="dxa" w:w="100"/>
              <w:bottom w:type="dxa" w:w="80"/>
              <w:right w:type="dxa" w:w="100"/>
            </w:tcMar>
          </w:tcPr>
          <w:p>
            <w:r>
              <w:rPr>
                <w:b w:val="false"/>
                <w:bCs w:val="false"/>
                <w:color w:val="000000"/>
                <w:sz w:val="18"/>
                <w:szCs w:val="18"/>
              </w:rPr>
              <w:t xml:space="preserve">drug node #15501</w:t>
            </w:r>
          </w:p>
        </w:tc>
      </w:tr>
      <w:tr>
        <w:tc>
          <w:tcPr>
            <w:tcW w:type="dxa" w:w="3400"/>
            <w:shd w:fill="F2F2F2" w:val="clear"/>
            <w:tcMar>
              <w:top w:type="dxa" w:w="80"/>
              <w:left w:type="dxa" w:w="100"/>
              <w:bottom w:type="dxa" w:w="80"/>
              <w:right w:type="dxa" w:w="100"/>
            </w:tcMar>
          </w:tcPr>
          <w:p>
            <w:r>
              <w:rPr>
                <w:b w:val="false"/>
                <w:bCs w:val="false"/>
                <w:color w:val="000000"/>
                <w:sz w:val="18"/>
                <w:szCs w:val="18"/>
              </w:rPr>
              <w:t xml:space="preserve">protein_protein</w:t>
            </w:r>
          </w:p>
        </w:tc>
        <w:tc>
          <w:tcPr>
            <w:tcW w:type="dxa" w:w="3000"/>
            <w:shd w:fill="F2F2F2" w:val="clear"/>
            <w:tcMar>
              <w:top w:type="dxa" w:w="80"/>
              <w:left w:type="dxa" w:w="100"/>
              <w:bottom w:type="dxa" w:w="80"/>
              <w:right w:type="dxa" w:w="100"/>
            </w:tcMar>
          </w:tcPr>
          <w:p>
            <w:r>
              <w:rPr>
                <w:b w:val="false"/>
                <w:bCs w:val="false"/>
                <w:color w:val="000000"/>
                <w:sz w:val="18"/>
                <w:szCs w:val="18"/>
              </w:rPr>
              <w:t xml:space="preserve">PHYHIP (gene)</w:t>
            </w:r>
          </w:p>
        </w:tc>
        <w:tc>
          <w:tcPr>
            <w:tcW w:type="dxa" w:w="3000"/>
            <w:shd w:fill="F2F2F2" w:val="clear"/>
            <w:tcMar>
              <w:top w:type="dxa" w:w="80"/>
              <w:left w:type="dxa" w:w="100"/>
              <w:bottom w:type="dxa" w:w="80"/>
              <w:right w:type="dxa" w:w="100"/>
            </w:tcMar>
          </w:tcPr>
          <w:p>
            <w:r>
              <w:rPr>
                <w:b w:val="false"/>
                <w:bCs w:val="false"/>
                <w:color w:val="000000"/>
                <w:sz w:val="18"/>
                <w:szCs w:val="18"/>
              </w:rPr>
              <w:t xml:space="preserve">KIF15 (gene)</w:t>
            </w:r>
          </w:p>
        </w:tc>
      </w:tr>
    </w:tbl>
    <w:p>
      <w:pPr>
        <w:spacing w:after="140"/>
      </w:pPr>
      <w:r>
        <w:rPr>
          <w:i w:val="false"/>
          <w:iCs w:val="false"/>
          <w:sz w:val="21"/>
          <w:szCs w:val="21"/>
        </w:rPr>
        <w:t xml:space="preserve"/>
      </w:r>
    </w:p>
    <w:p>
      <w:pPr>
        <w:spacing w:after="60"/>
      </w:pPr>
      <w:r>
        <w:rPr>
          <w:b/>
          <w:bCs/>
          <w:color w:val="2E7D32"/>
          <w:sz w:val="21"/>
          <w:szCs w:val="21"/>
        </w:rPr>
        <w:t xml:space="preserve">+  </w:t>
      </w:r>
      <w:r>
        <w:rPr>
          <w:sz w:val="21"/>
          <w:szCs w:val="21"/>
        </w:rPr>
        <w:t xml:space="preserve">Every drug and disease already comes with a real doctor-style write-up (from Mayo Clinic, DrugBank, etc.) attached to it - so text and graph both come built in, same as your intrusion-detection setup. A published result on this exact graph (TxGNN) already shows structure alone boosts prediction a lot (roughly +35-49% on hard cases) - so "structure carries information text doesn't" is already proven here too.</w:t>
      </w:r>
    </w:p>
    <w:p>
      <w:pPr>
        <w:spacing w:after="60"/>
      </w:pPr>
      <w:r>
        <w:rPr>
          <w:b/>
          <w:bCs/>
          <w:color w:val="B71C1C"/>
          <w:sz w:val="21"/>
          <w:szCs w:val="21"/>
        </w:rPr>
        <w:t xml:space="preserve">-  </w:t>
      </w:r>
      <w:r>
        <w:rPr>
          <w:sz w:val="21"/>
          <w:szCs w:val="21"/>
        </w:rPr>
        <w:t xml:space="preserve">It isn't packaged as one clean classification task - we'd have to define our own split from its ~30 relation types, which is more setup work than the other options. It's also the most similar in spirit to your original security project (graph + knowledge graph + LLM), so it may not read as different enough if the goal is to show the pipeline works somewhere that looks clearly unrelated to IDS.</w:t>
      </w:r>
    </w:p>
    <w:p>
      <w:pPr>
        <w:pStyle w:val="Heading2"/>
        <w:spacing w:after="120" w:before="240"/>
      </w:pPr>
      <w:r>
        <w:rPr>
          <w:b/>
          <w:bCs/>
          <w:color w:val="1F3864"/>
          <w:sz w:val="24"/>
          <w:szCs w:val="24"/>
        </w:rPr>
        <w:t xml:space="preserve">4.5  TDC TWOSIDES - drug combination side effects</w:t>
      </w:r>
    </w:p>
    <w:p>
      <w:pPr>
        <w:spacing w:after="140"/>
      </w:pPr>
      <w:r>
        <w:rPr>
          <w:i w:val="false"/>
          <w:iCs w:val="false"/>
          <w:sz w:val="21"/>
          <w:szCs w:val="21"/>
        </w:rPr>
        <w:t xml:space="preserve">What it is: pairs of drugs, and which side effect(s) show up specifically when you take both together (not something either drug causes on its own).</w:t>
      </w:r>
    </w:p>
    <w:p>
      <w:pPr>
        <w:spacing w:after="100"/>
      </w:pPr>
      <w:r>
        <w:rPr>
          <w:b/>
          <w:bCs/>
          <w:color w:val="1F3864"/>
          <w:sz w:val="21"/>
          <w:szCs w:val="21"/>
        </w:rPr>
        <w:t xml:space="preserve">Sample rows - these are real rows, pulled directly from the official file: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3000"/>
      </w:tblGrid>
      <w:tr>
        <w:trPr>
          <w:tblHeader/>
        </w:trPr>
        <w:tc>
          <w:tcPr>
            <w:tcW w:type="dxa" w:w="2100"/>
            <w:shd w:fill="1F3864" w:val="clear"/>
            <w:tcMar>
              <w:top w:type="dxa" w:w="80"/>
              <w:left w:type="dxa" w:w="100"/>
              <w:bottom w:type="dxa" w:w="80"/>
              <w:right w:type="dxa" w:w="100"/>
            </w:tcMar>
          </w:tcPr>
          <w:p>
            <w:r>
              <w:rPr>
                <w:b/>
                <w:bCs/>
                <w:color w:val="FFFFFF"/>
                <w:sz w:val="18"/>
                <w:szCs w:val="18"/>
              </w:rPr>
              <w:t xml:space="preserve">Drug 1 (PubChem CID)</w:t>
            </w:r>
          </w:p>
        </w:tc>
        <w:tc>
          <w:tcPr>
            <w:tcW w:type="dxa" w:w="2100"/>
            <w:shd w:fill="1F3864" w:val="clear"/>
            <w:tcMar>
              <w:top w:type="dxa" w:w="80"/>
              <w:left w:type="dxa" w:w="100"/>
              <w:bottom w:type="dxa" w:w="80"/>
              <w:right w:type="dxa" w:w="100"/>
            </w:tcMar>
          </w:tcPr>
          <w:p>
            <w:r>
              <w:rPr>
                <w:b/>
                <w:bCs/>
                <w:color w:val="FFFFFF"/>
                <w:sz w:val="18"/>
                <w:szCs w:val="18"/>
              </w:rPr>
              <w:t xml:space="preserve">Drug 2 (PubChem CID)</w:t>
            </w:r>
          </w:p>
        </w:tc>
        <w:tc>
          <w:tcPr>
            <w:tcW w:type="dxa" w:w="2100"/>
            <w:shd w:fill="1F3864" w:val="clear"/>
            <w:tcMar>
              <w:top w:type="dxa" w:w="80"/>
              <w:left w:type="dxa" w:w="100"/>
              <w:bottom w:type="dxa" w:w="80"/>
              <w:right w:type="dxa" w:w="100"/>
            </w:tcMar>
          </w:tcPr>
          <w:p>
            <w:r>
              <w:rPr>
                <w:b/>
                <w:bCs/>
                <w:color w:val="FFFFFF"/>
                <w:sz w:val="18"/>
                <w:szCs w:val="18"/>
              </w:rPr>
              <w:t xml:space="preserve">Side effect</w:t>
            </w:r>
          </w:p>
        </w:tc>
        <w:tc>
          <w:tcPr>
            <w:tcW w:type="dxa" w:w="3000"/>
            <w:shd w:fill="1F3864" w:val="clear"/>
            <w:tcMar>
              <w:top w:type="dxa" w:w="80"/>
              <w:left w:type="dxa" w:w="100"/>
              <w:bottom w:type="dxa" w:w="80"/>
              <w:right w:type="dxa" w:w="100"/>
            </w:tcMar>
          </w:tcPr>
          <w:p>
            <w:r>
              <w:rPr>
                <w:b/>
                <w:bCs/>
                <w:color w:val="FFFFFF"/>
                <w:sz w:val="18"/>
                <w:szCs w:val="18"/>
              </w:rPr>
              <w:t xml:space="preserve">Drug 1 molecule code (SMILES)</w:t>
            </w:r>
          </w:p>
        </w:tc>
      </w:tr>
      <w:tr>
        <w:tc>
          <w:tcPr>
            <w:tcW w:type="dxa" w:w="2100"/>
            <w:tcMar>
              <w:top w:type="dxa" w:w="80"/>
              <w:left w:type="dxa" w:w="100"/>
              <w:bottom w:type="dxa" w:w="80"/>
              <w:right w:type="dxa" w:w="100"/>
            </w:tcMar>
          </w:tcPr>
          <w:p>
            <w:r>
              <w:rPr>
                <w:b w:val="false"/>
                <w:bCs w:val="false"/>
                <w:color w:val="000000"/>
                <w:sz w:val="18"/>
                <w:szCs w:val="18"/>
              </w:rPr>
              <w:t xml:space="preserve">2173</w:t>
            </w:r>
          </w:p>
        </w:tc>
        <w:tc>
          <w:tcPr>
            <w:tcW w:type="dxa" w:w="2100"/>
            <w:tcMar>
              <w:top w:type="dxa" w:w="80"/>
              <w:left w:type="dxa" w:w="100"/>
              <w:bottom w:type="dxa" w:w="80"/>
              <w:right w:type="dxa" w:w="100"/>
            </w:tcMar>
          </w:tcPr>
          <w:p>
            <w:r>
              <w:rPr>
                <w:b w:val="false"/>
                <w:bCs w:val="false"/>
                <w:color w:val="000000"/>
                <w:sz w:val="18"/>
                <w:szCs w:val="18"/>
              </w:rPr>
              <w:t xml:space="preserve">3345</w:t>
            </w:r>
          </w:p>
        </w:tc>
        <w:tc>
          <w:tcPr>
            <w:tcW w:type="dxa" w:w="2100"/>
            <w:tcMar>
              <w:top w:type="dxa" w:w="80"/>
              <w:left w:type="dxa" w:w="100"/>
              <w:bottom w:type="dxa" w:w="80"/>
              <w:right w:type="dxa" w:w="100"/>
            </w:tcMar>
          </w:tcPr>
          <w:p>
            <w:r>
              <w:rPr>
                <w:b w:val="false"/>
                <w:bCs w:val="false"/>
                <w:color w:val="000000"/>
                <w:sz w:val="18"/>
                <w:szCs w:val="18"/>
              </w:rPr>
              <w:t xml:space="preserve">hypermagnesemia</w:t>
            </w:r>
          </w:p>
        </w:tc>
        <w:tc>
          <w:tcPr>
            <w:tcW w:type="dxa" w:w="3000"/>
            <w:tcMar>
              <w:top w:type="dxa" w:w="80"/>
              <w:left w:type="dxa" w:w="100"/>
              <w:bottom w:type="dxa" w:w="80"/>
              <w:right w:type="dxa" w:w="100"/>
            </w:tcMar>
          </w:tcPr>
          <w:p>
            <w:r>
              <w:rPr>
                <w:b w:val="false"/>
                <w:bCs w:val="false"/>
                <w:color w:val="000000"/>
                <w:sz w:val="18"/>
                <w:szCs w:val="18"/>
              </w:rPr>
              <w:t xml:space="preserve">CC1(C(N2C(S1)C(C2=O)NC(=O)C(C3=CC=CC=C3)N)C(=O)[O-])C</w:t>
            </w:r>
          </w:p>
        </w:tc>
      </w:tr>
      <w:tr>
        <w:tc>
          <w:tcPr>
            <w:tcW w:type="dxa" w:w="2100"/>
            <w:shd w:fill="F2F2F2" w:val="clear"/>
            <w:tcMar>
              <w:top w:type="dxa" w:w="80"/>
              <w:left w:type="dxa" w:w="100"/>
              <w:bottom w:type="dxa" w:w="80"/>
              <w:right w:type="dxa" w:w="100"/>
            </w:tcMar>
          </w:tcPr>
          <w:p>
            <w:r>
              <w:rPr>
                <w:b w:val="false"/>
                <w:bCs w:val="false"/>
                <w:color w:val="000000"/>
                <w:sz w:val="18"/>
                <w:szCs w:val="18"/>
              </w:rPr>
              <w:t xml:space="preserve">2173</w:t>
            </w:r>
          </w:p>
        </w:tc>
        <w:tc>
          <w:tcPr>
            <w:tcW w:type="dxa" w:w="2100"/>
            <w:shd w:fill="F2F2F2" w:val="clear"/>
            <w:tcMar>
              <w:top w:type="dxa" w:w="80"/>
              <w:left w:type="dxa" w:w="100"/>
              <w:bottom w:type="dxa" w:w="80"/>
              <w:right w:type="dxa" w:w="100"/>
            </w:tcMar>
          </w:tcPr>
          <w:p>
            <w:r>
              <w:rPr>
                <w:b w:val="false"/>
                <w:bCs w:val="false"/>
                <w:color w:val="000000"/>
                <w:sz w:val="18"/>
                <w:szCs w:val="18"/>
              </w:rPr>
              <w:t xml:space="preserve">3345</w:t>
            </w:r>
          </w:p>
        </w:tc>
        <w:tc>
          <w:tcPr>
            <w:tcW w:type="dxa" w:w="2100"/>
            <w:shd w:fill="F2F2F2" w:val="clear"/>
            <w:tcMar>
              <w:top w:type="dxa" w:w="80"/>
              <w:left w:type="dxa" w:w="100"/>
              <w:bottom w:type="dxa" w:w="80"/>
              <w:right w:type="dxa" w:w="100"/>
            </w:tcMar>
          </w:tcPr>
          <w:p>
            <w:r>
              <w:rPr>
                <w:b w:val="false"/>
                <w:bCs w:val="false"/>
                <w:color w:val="000000"/>
                <w:sz w:val="18"/>
                <w:szCs w:val="18"/>
              </w:rPr>
              <w:t xml:space="preserve">Back Ache</w:t>
            </w:r>
          </w:p>
        </w:tc>
        <w:tc>
          <w:tcPr>
            <w:tcW w:type="dxa" w:w="3000"/>
            <w:shd w:fill="F2F2F2" w:val="clear"/>
            <w:tcMar>
              <w:top w:type="dxa" w:w="80"/>
              <w:left w:type="dxa" w:w="100"/>
              <w:bottom w:type="dxa" w:w="80"/>
              <w:right w:type="dxa" w:w="100"/>
            </w:tcMar>
          </w:tcPr>
          <w:p>
            <w:r>
              <w:rPr>
                <w:b w:val="false"/>
                <w:bCs w:val="false"/>
                <w:color w:val="000000"/>
                <w:sz w:val="18"/>
                <w:szCs w:val="18"/>
              </w:rPr>
              <w:t xml:space="preserve">CC1(C(N2C(S1)C(C2=O)NC(=O)C(C3=CC=CC=C3)N)C(=O)[O-])C</w:t>
            </w:r>
          </w:p>
        </w:tc>
      </w:tr>
      <w:tr>
        <w:tc>
          <w:tcPr>
            <w:tcW w:type="dxa" w:w="2100"/>
            <w:tcMar>
              <w:top w:type="dxa" w:w="80"/>
              <w:left w:type="dxa" w:w="100"/>
              <w:bottom w:type="dxa" w:w="80"/>
              <w:right w:type="dxa" w:w="100"/>
            </w:tcMar>
          </w:tcPr>
          <w:p>
            <w:r>
              <w:rPr>
                <w:b w:val="false"/>
                <w:bCs w:val="false"/>
                <w:color w:val="000000"/>
                <w:sz w:val="18"/>
                <w:szCs w:val="18"/>
              </w:rPr>
              <w:t xml:space="preserve">2173</w:t>
            </w:r>
          </w:p>
        </w:tc>
        <w:tc>
          <w:tcPr>
            <w:tcW w:type="dxa" w:w="2100"/>
            <w:tcMar>
              <w:top w:type="dxa" w:w="80"/>
              <w:left w:type="dxa" w:w="100"/>
              <w:bottom w:type="dxa" w:w="80"/>
              <w:right w:type="dxa" w:w="100"/>
            </w:tcMar>
          </w:tcPr>
          <w:p>
            <w:r>
              <w:rPr>
                <w:b w:val="false"/>
                <w:bCs w:val="false"/>
                <w:color w:val="000000"/>
                <w:sz w:val="18"/>
                <w:szCs w:val="18"/>
              </w:rPr>
              <w:t xml:space="preserve">3345</w:t>
            </w:r>
          </w:p>
        </w:tc>
        <w:tc>
          <w:tcPr>
            <w:tcW w:type="dxa" w:w="2100"/>
            <w:tcMar>
              <w:top w:type="dxa" w:w="80"/>
              <w:left w:type="dxa" w:w="100"/>
              <w:bottom w:type="dxa" w:w="80"/>
              <w:right w:type="dxa" w:w="100"/>
            </w:tcMar>
          </w:tcPr>
          <w:p>
            <w:r>
              <w:rPr>
                <w:b w:val="false"/>
                <w:bCs w:val="false"/>
                <w:color w:val="000000"/>
                <w:sz w:val="18"/>
                <w:szCs w:val="18"/>
              </w:rPr>
              <w:t xml:space="preserve">Acidosis</w:t>
            </w:r>
          </w:p>
        </w:tc>
        <w:tc>
          <w:tcPr>
            <w:tcW w:type="dxa" w:w="3000"/>
            <w:tcMar>
              <w:top w:type="dxa" w:w="80"/>
              <w:left w:type="dxa" w:w="100"/>
              <w:bottom w:type="dxa" w:w="80"/>
              <w:right w:type="dxa" w:w="100"/>
            </w:tcMar>
          </w:tcPr>
          <w:p>
            <w:r>
              <w:rPr>
                <w:b w:val="false"/>
                <w:bCs w:val="false"/>
                <w:color w:val="000000"/>
                <w:sz w:val="18"/>
                <w:szCs w:val="18"/>
              </w:rPr>
              <w:t xml:space="preserve">CC1(C(N2C(S1)C(C2=O)NC(=O)C(C3=CC=CC=C3)N)C(=O)[O-])C</w:t>
            </w:r>
          </w:p>
        </w:tc>
      </w:tr>
      <w:tr>
        <w:tc>
          <w:tcPr>
            <w:tcW w:type="dxa" w:w="2100"/>
            <w:shd w:fill="F2F2F2" w:val="clear"/>
            <w:tcMar>
              <w:top w:type="dxa" w:w="80"/>
              <w:left w:type="dxa" w:w="100"/>
              <w:bottom w:type="dxa" w:w="80"/>
              <w:right w:type="dxa" w:w="100"/>
            </w:tcMar>
          </w:tcPr>
          <w:p>
            <w:r>
              <w:rPr>
                <w:b w:val="false"/>
                <w:bCs w:val="false"/>
                <w:color w:val="000000"/>
                <w:sz w:val="18"/>
                <w:szCs w:val="18"/>
              </w:rPr>
              <w:t xml:space="preserve">3148</w:t>
            </w:r>
          </w:p>
        </w:tc>
        <w:tc>
          <w:tcPr>
            <w:tcW w:type="dxa" w:w="2100"/>
            <w:shd w:fill="F2F2F2" w:val="clear"/>
            <w:tcMar>
              <w:top w:type="dxa" w:w="80"/>
              <w:left w:type="dxa" w:w="100"/>
              <w:bottom w:type="dxa" w:w="80"/>
              <w:right w:type="dxa" w:w="100"/>
            </w:tcMar>
          </w:tcPr>
          <w:p>
            <w:r>
              <w:rPr>
                <w:b w:val="false"/>
                <w:bCs w:val="false"/>
                <w:color w:val="000000"/>
                <w:sz w:val="18"/>
                <w:szCs w:val="18"/>
              </w:rPr>
              <w:t xml:space="preserve">3348</w:t>
            </w:r>
          </w:p>
        </w:tc>
        <w:tc>
          <w:tcPr>
            <w:tcW w:type="dxa" w:w="2100"/>
            <w:shd w:fill="F2F2F2" w:val="clear"/>
            <w:tcMar>
              <w:top w:type="dxa" w:w="80"/>
              <w:left w:type="dxa" w:w="100"/>
              <w:bottom w:type="dxa" w:w="80"/>
              <w:right w:type="dxa" w:w="100"/>
            </w:tcMar>
          </w:tcPr>
          <w:p>
            <w:r>
              <w:rPr>
                <w:b w:val="false"/>
                <w:bCs w:val="false"/>
                <w:color w:val="000000"/>
                <w:sz w:val="18"/>
                <w:szCs w:val="18"/>
              </w:rPr>
              <w:t xml:space="preserve">Pain</w:t>
            </w:r>
          </w:p>
        </w:tc>
        <w:tc>
          <w:tcPr>
            <w:tcW w:type="dxa" w:w="3000"/>
            <w:shd w:fill="F2F2F2" w:val="clear"/>
            <w:tcMar>
              <w:top w:type="dxa" w:w="80"/>
              <w:left w:type="dxa" w:w="100"/>
              <w:bottom w:type="dxa" w:w="80"/>
              <w:right w:type="dxa" w:w="100"/>
            </w:tcMar>
          </w:tcPr>
          <w:p>
            <w:r>
              <w:rPr>
                <w:b w:val="false"/>
                <w:bCs w:val="false"/>
                <w:color w:val="000000"/>
                <w:sz w:val="18"/>
                <w:szCs w:val="18"/>
              </w:rPr>
              <w:t xml:space="preserve">C1C2CC3CC(CC1N3CC2=O)OC(=O)C4=CNC5=CC=CC=C54</w:t>
            </w:r>
          </w:p>
        </w:tc>
      </w:tr>
      <w:tr>
        <w:tc>
          <w:tcPr>
            <w:tcW w:type="dxa" w:w="2100"/>
            <w:tcMar>
              <w:top w:type="dxa" w:w="80"/>
              <w:left w:type="dxa" w:w="100"/>
              <w:bottom w:type="dxa" w:w="80"/>
              <w:right w:type="dxa" w:w="100"/>
            </w:tcMar>
          </w:tcPr>
          <w:p>
            <w:r>
              <w:rPr>
                <w:b w:val="false"/>
                <w:bCs w:val="false"/>
                <w:color w:val="000000"/>
                <w:sz w:val="18"/>
                <w:szCs w:val="18"/>
              </w:rPr>
              <w:t xml:space="preserve">3148</w:t>
            </w:r>
          </w:p>
        </w:tc>
        <w:tc>
          <w:tcPr>
            <w:tcW w:type="dxa" w:w="2100"/>
            <w:tcMar>
              <w:top w:type="dxa" w:w="80"/>
              <w:left w:type="dxa" w:w="100"/>
              <w:bottom w:type="dxa" w:w="80"/>
              <w:right w:type="dxa" w:w="100"/>
            </w:tcMar>
          </w:tcPr>
          <w:p>
            <w:r>
              <w:rPr>
                <w:b w:val="false"/>
                <w:bCs w:val="false"/>
                <w:color w:val="000000"/>
                <w:sz w:val="18"/>
                <w:szCs w:val="18"/>
              </w:rPr>
              <w:t xml:space="preserve">3348</w:t>
            </w:r>
          </w:p>
        </w:tc>
        <w:tc>
          <w:tcPr>
            <w:tcW w:type="dxa" w:w="2100"/>
            <w:tcMar>
              <w:top w:type="dxa" w:w="80"/>
              <w:left w:type="dxa" w:w="100"/>
              <w:bottom w:type="dxa" w:w="80"/>
              <w:right w:type="dxa" w:w="100"/>
            </w:tcMar>
          </w:tcPr>
          <w:p>
            <w:r>
              <w:rPr>
                <w:b w:val="false"/>
                <w:bCs w:val="false"/>
                <w:color w:val="000000"/>
                <w:sz w:val="18"/>
                <w:szCs w:val="18"/>
              </w:rPr>
              <w:t xml:space="preserve">tooth disease</w:t>
            </w:r>
          </w:p>
        </w:tc>
        <w:tc>
          <w:tcPr>
            <w:tcW w:type="dxa" w:w="3000"/>
            <w:tcMar>
              <w:top w:type="dxa" w:w="80"/>
              <w:left w:type="dxa" w:w="100"/>
              <w:bottom w:type="dxa" w:w="80"/>
              <w:right w:type="dxa" w:w="100"/>
            </w:tcMar>
          </w:tcPr>
          <w:p>
            <w:r>
              <w:rPr>
                <w:b w:val="false"/>
                <w:bCs w:val="false"/>
                <w:color w:val="000000"/>
                <w:sz w:val="18"/>
                <w:szCs w:val="18"/>
              </w:rPr>
              <w:t xml:space="preserve">C1C2CC3CC(CC1N3CC2=O)OC(=O)C4=CNC5=CC=CC=C54</w:t>
            </w:r>
          </w:p>
        </w:tc>
      </w:tr>
    </w:tbl>
    <w:p>
      <w:pPr>
        <w:spacing w:after="140"/>
      </w:pPr>
      <w:r>
        <w:rPr>
          <w:i/>
          <w:iCs/>
          <w:sz w:val="21"/>
          <w:szCs w:val="21"/>
        </w:rPr>
        <w:t xml:space="preserve">(Each row also includes the second drug's molecule code - trimmed above just to keep the table readable.)</w:t>
      </w:r>
    </w:p>
    <w:p>
      <w:pPr>
        <w:spacing w:after="60"/>
      </w:pPr>
      <w:r>
        <w:rPr>
          <w:b/>
          <w:bCs/>
          <w:color w:val="2E7D32"/>
          <w:sz w:val="21"/>
          <w:szCs w:val="21"/>
        </w:rPr>
        <w:t xml:space="preserve">+  </w:t>
      </w:r>
      <w:r>
        <w:rPr>
          <w:sz w:val="21"/>
          <w:szCs w:val="21"/>
        </w:rPr>
        <w:t xml:space="preserve">Downloads in one line, no waiting. The whole point of the task - you can't predict the side effect from either drug alone, only from the pair - is basically a built-in guarantee that relational structure matters, not just helps.</w:t>
      </w:r>
    </w:p>
    <w:p>
      <w:pPr>
        <w:spacing w:after="60"/>
      </w:pPr>
      <w:r>
        <w:rPr>
          <w:b/>
          <w:bCs/>
          <w:color w:val="B71C1C"/>
          <w:sz w:val="21"/>
          <w:szCs w:val="21"/>
        </w:rPr>
        <w:t xml:space="preserve">-  </w:t>
      </w:r>
      <w:r>
        <w:rPr>
          <w:sz w:val="21"/>
          <w:szCs w:val="21"/>
        </w:rPr>
        <w:t xml:space="preserve">The "molecule code" (SMILES) isn't real sentence-like text, so a genuine LLM branch needs real drug descriptions pulled in separately from DrugBank. The label list is also long (hundreds of possible side effects), so it needs trimming to a manageable set before training, the way other papers using this dataset already do.</w:t>
      </w:r>
    </w:p>
    <w:p>
      <w:pPr>
        <w:pStyle w:val="Heading1"/>
        <w:spacing w:after="150" w:before="300"/>
      </w:pPr>
      <w:r>
        <w:rPr>
          <w:b/>
          <w:bCs/>
          <w:color w:val="1F3864"/>
          <w:sz w:val="30"/>
          <w:szCs w:val="30"/>
        </w:rPr>
        <w:t xml:space="preserve">5. Straight answer: which one do we use?</w:t>
      </w:r>
    </w:p>
    <w:p>
      <w:pPr>
        <w:spacing w:after="160"/>
      </w:pPr>
      <w:r>
        <w:rPr>
          <w:b/>
          <w:bCs/>
          <w:color w:val="1F3864"/>
          <w:sz w:val="24"/>
          <w:szCs w:val="24"/>
        </w:rPr>
        <w:t xml:space="preserve">Recommended dataset: </w:t>
      </w:r>
      <w:r>
        <w:rPr>
          <w:b/>
          <w:bCs/>
          <w:color w:val="2E7D32"/>
          <w:sz w:val="24"/>
          <w:szCs w:val="24"/>
        </w:rPr>
        <w:t xml:space="preserve">ogbn-arxiv</w:t>
      </w:r>
    </w:p>
    <w:p>
      <w:pPr>
        <w:spacing w:after="140"/>
      </w:pPr>
      <w:r>
        <w:rPr>
          <w:i w:val="false"/>
          <w:iCs w:val="false"/>
          <w:sz w:val="21"/>
          <w:szCs w:val="21"/>
        </w:rPr>
        <w:t xml:space="preserve">It's the only one of the five where nothing is gated and nothing is missing. One line of code gets you the citation graph and the paper text together, already matched up, with labels included - no emailing anyone, no reassembling files, no giant download that stalls halfway. It's also the one candidate with an already-published, apples-to-apples result (TAPE, holding the graph model fixed and only toggling the LLM features) proving that adding LLM knowledge on top of the graph raises accuracy - so we're not trying to prove the fusion idea works from a standing start, just showing AGAF and the feedback loop do it better than the existing approach. And the size (170K papers, 1.17M edges) is big enough to let the feedback loop run through several cycles, without turning this into a multi-day compute project.</w:t>
      </w:r>
    </w:p>
    <w:p>
      <w:pPr>
        <w:spacing w:after="140"/>
      </w:pPr>
      <w:r>
        <w:rPr>
          <w:i w:val="false"/>
          <w:iCs w:val="false"/>
          <w:sz w:val="21"/>
          <w:szCs w:val="21"/>
        </w:rPr>
        <w:t xml:space="preserve">Suggested order after that, so the extra effort buys something real:</w:t>
      </w:r>
    </w:p>
    <w:p>
      <w:pPr>
        <w:pStyle w:val="ListParagraph"/>
        <w:numPr>
          <w:ilvl w:val="0"/>
          <w:numId w:val="1"/>
        </w:numPr>
        <w:spacing w:after="60"/>
      </w:pPr>
      <w:r>
        <w:rPr>
          <w:sz w:val="21"/>
          <w:szCs w:val="21"/>
        </w:rPr>
        <w:t xml:space="preserve">Run tape-arxiv23 second, on the same setup - it's the same task but on papers published after most LLMs' training cutoff, so the LLM branch can't just be "remembering" the paper. This heads off the obvious "the LLM already knew the answer" objection.</w:t>
      </w:r>
    </w:p>
    <w:p>
      <w:pPr>
        <w:pStyle w:val="ListParagraph"/>
        <w:numPr>
          <w:ilvl w:val="0"/>
          <w:numId w:val="1"/>
        </w:numPr>
        <w:spacing w:after="60"/>
      </w:pPr>
      <w:r>
        <w:rPr>
          <w:sz w:val="21"/>
          <w:szCs w:val="21"/>
        </w:rPr>
        <w:t xml:space="preserve">Try YelpChi third, as a genuinely different kind of domain - because fraud is deliberately disguised in the text there, it's a sharper test of whether AGAF's fusion actually leans on structure when the text is misleading, which ogbn-arxiv can't test.</w:t>
      </w:r>
    </w:p>
    <w:p>
      <w:pPr>
        <w:pStyle w:val="ListParagraph"/>
        <w:numPr>
          <w:ilvl w:val="0"/>
          <w:numId w:val="1"/>
        </w:numPr>
        <w:spacing w:after="60"/>
      </w:pPr>
      <w:r>
        <w:rPr>
          <w:sz w:val="21"/>
          <w:szCs w:val="21"/>
        </w:rPr>
        <w:t xml:space="preserve">Treat PrimeKG and TWOSIDES as optional later options - both need more setup work (a custom task split for PrimeKG, joining in DrugBank text for TWOSIDES) than they're likely worth before the first two are finished. TwiBot-22 is worth keeping in mind only if a supervisor specifically wants a social-media example and is fine with the access-request wait.</w:t>
      </w:r>
    </w:p>
    <w:p>
      <w:pPr>
        <w:pStyle w:val="Heading1"/>
        <w:spacing w:after="150" w:before="300"/>
      </w:pPr>
      <w:r>
        <w:rPr>
          <w:b/>
          <w:bCs/>
          <w:color w:val="1F3864"/>
          <w:sz w:val="30"/>
          <w:szCs w:val="30"/>
        </w:rPr>
        <w:t xml:space="preserve">6. Where these numbers came from</w:t>
      </w:r>
    </w:p>
    <w:p>
      <w:pPr>
        <w:spacing w:after="140"/>
      </w:pPr>
      <w:r>
        <w:rPr>
          <w:i/>
          <w:iCs/>
          <w:sz w:val="21"/>
          <w:szCs w:val="21"/>
        </w:rPr>
        <w:t xml:space="preserve">ogbn-arxiv paper/abstract rows: pulled directly from the official OGB file (snap.stanford.edu/ogb). PrimeKG rows: pulled directly from the official Harvard Dataverse release (doi.org/10.7910/DVN/IXA7BM). TDC TWOSIDES rows: pulled directly from the official Harvard Dataverse release used by the TDC package (doi.org/10.7910/DVN/21LKWG). TwiBot-22 and YelpChi/Amazon field descriptions: taken from the datasets' own official documentation (GitHub repo and DGL docs respectively), since the raw data itself is access-gated or too large to pull down in this session. Scale figures for TwiBot-22, YelpChi/Amazon, and PrimeKG cross-checked against their original papers. The TAPE accuracy figures (RevGAT ~71% without LLM features, higher with them) are confirmed by the TAPE paper (ICLR 2024, arXiv:2305.19523) and follow-up citations of it - the exact decimal varies slightly by table/variant across sources, but the direction and rough size of the improvement is consistent everywhere we checked.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2026-07-30T22:45:59.237Z</dcterms:created>
  <dcterms:modified xsi:type="dcterms:W3CDTF">2026-07-30T22:45:59.238Z</dcterms:modified>
</cp:coreProperties>
</file>

<file path=docProps/custom.xml><?xml version="1.0" encoding="utf-8"?>
<Properties xmlns="http://schemas.openxmlformats.org/officeDocument/2006/custom-properties" xmlns:vt="http://schemas.openxmlformats.org/officeDocument/2006/docPropsVTypes"/>
</file>