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C"/>
          <w:sz w:val="40"/>
          <w:szCs w:val="40"/>
        </w:rPr>
        <w:t xml:space="preserve">Domain Generalization Candidates</w:t>
      </w:r>
    </w:p>
    <w:p>
      <w:pPr>
        <w:spacing w:after="240"/>
      </w:pPr>
      <w:r>
        <w:rPr>
          <w:i/>
          <w:iCs/>
          <w:color w:val="555555"/>
          <w:sz w:val="22"/>
          <w:szCs w:val="22"/>
        </w:rPr>
        <w:t xml:space="preserve">Dataset shortlist for validating the GNN + LLM + AGAF fusion pipeline outside network security</w:t>
      </w:r>
    </w:p>
    <w:p>
      <w:pPr>
        <w:pStyle w:val="Heading1"/>
        <w:spacing w:after="150" w:before="300"/>
      </w:pPr>
      <w:r>
        <w:rPr>
          <w:b/>
          <w:bCs/>
          <w:color w:val="1F4E5C"/>
        </w:rPr>
        <w:t xml:space="preserve">Reframed Objective</w:t>
      </w:r>
    </w:p>
    <w:p>
      <w:pPr>
        <w:spacing w:after="160" w:line="300"/>
      </w:pPr>
      <w:r>
        <w:t xml:space="preserve">The validation question has changed from “does this pipeline detect intrusions” to “does GNN structural encoding + LLM semantic encoding + AGAF fusion + the iterative feedback loop generalize across domains where relational structure and textual/semantic signal each carry independent predictive value.” Network security remains a live example — one data point among several — rather than the sole evidence for the pipeline’s validity. UNSW-NB15 succeeding and ToN-IoT not replicating is consistent with your supervisor’s read: a domain-specific ceiling on IDS, not a defect in the fusion mechanism itself. The five candidates below are screened and ranked with that reframing in mind.</w:t>
      </w:r>
    </w:p>
    <w:p>
      <w:pPr>
        <w:pStyle w:val="Heading1"/>
        <w:spacing w:after="150" w:before="300"/>
      </w:pPr>
      <w:r>
        <w:rPr>
          <w:b/>
          <w:bCs/>
          <w:color w:val="1F4E5C"/>
        </w:rPr>
        <w:t xml:space="preserve">Screening Criteria</w:t>
      </w:r>
    </w:p>
    <w:p>
      <w:pPr>
        <w:spacing w:after="160" w:line="300"/>
      </w:pPr>
      <w:r>
        <w:t xml:space="preserve">Each candidate was evaluated against the five conditions from your brief: (1) naturally graph-structured or graph-constructible data, with nodes/edges carrying real relational signal rather than flattened tabular rows; (2) node- or edge-level features that are meaningfully textual or semantic, alongside separate structural features, so the two branches have distinct information to fuse; (3) a defined classification task with ground-truth labels; (4) public availability at sufficient scale for training and evaluation; and (5), where possible, published evidence that relational structure adds predictive power beyond node/text features alone — without that, the feedback loop has nothing to demonstrate.</w:t>
      </w:r>
    </w:p>
    <w:p>
      <w:pPr>
        <w:pStyle w:val="Heading1"/>
        <w:spacing w:after="150" w:before="300"/>
      </w:pPr>
      <w:r>
        <w:rPr>
          <w:b/>
          <w:bCs/>
          <w:color w:val="1F4E5C"/>
        </w:rPr>
        <w:t xml:space="preserve">Shortlist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400"/>
        <w:gridCol w:w="3200"/>
        <w:gridCol w:w="2300"/>
      </w:tblGrid>
      <w:tr>
        <w:tc>
          <w:tcPr>
            <w:tcW w:type="dxa" w:w="500"/>
            <w:shd w:fill="1F4E5C" w:val="clear"/>
            <w:tcMar>
              <w:top w:type="dxa" w:w="80"/>
              <w:left w:type="dxa" w:w="100"/>
              <w:bottom w:type="dxa" w:w="80"/>
              <w:right w:type="dxa" w:w="100"/>
            </w:tcMar>
          </w:tcPr>
          <w:p>
            <w:r>
              <w:rPr>
                <w:b/>
                <w:bCs/>
                <w:color w:val="FFFFFF"/>
                <w:sz w:val="19"/>
                <w:szCs w:val="19"/>
              </w:rPr>
              <w:t xml:space="preserve">#</w:t>
            </w:r>
          </w:p>
        </w:tc>
        <w:tc>
          <w:tcPr>
            <w:tcW w:type="dxa" w:w="1600"/>
            <w:shd w:fill="1F4E5C" w:val="clear"/>
            <w:tcMar>
              <w:top w:type="dxa" w:w="80"/>
              <w:left w:type="dxa" w:w="100"/>
              <w:bottom w:type="dxa" w:w="80"/>
              <w:right w:type="dxa" w:w="100"/>
            </w:tcMar>
          </w:tcPr>
          <w:p>
            <w:r>
              <w:rPr>
                <w:b/>
                <w:bCs/>
                <w:color w:val="FFFFFF"/>
                <w:sz w:val="19"/>
                <w:szCs w:val="19"/>
              </w:rPr>
              <w:t xml:space="preserve">Domain</w:t>
            </w:r>
          </w:p>
        </w:tc>
        <w:tc>
          <w:tcPr>
            <w:tcW w:type="dxa" w:w="2400"/>
            <w:shd w:fill="1F4E5C" w:val="clear"/>
            <w:tcMar>
              <w:top w:type="dxa" w:w="80"/>
              <w:left w:type="dxa" w:w="100"/>
              <w:bottom w:type="dxa" w:w="80"/>
              <w:right w:type="dxa" w:w="100"/>
            </w:tcMar>
          </w:tcPr>
          <w:p>
            <w:r>
              <w:rPr>
                <w:b/>
                <w:bCs/>
                <w:color w:val="FFFFFF"/>
                <w:sz w:val="19"/>
                <w:szCs w:val="19"/>
              </w:rPr>
              <w:t xml:space="preserve">Dataset</w:t>
            </w:r>
          </w:p>
        </w:tc>
        <w:tc>
          <w:tcPr>
            <w:tcW w:type="dxa" w:w="3200"/>
            <w:shd w:fill="1F4E5C" w:val="clear"/>
            <w:tcMar>
              <w:top w:type="dxa" w:w="80"/>
              <w:left w:type="dxa" w:w="100"/>
              <w:bottom w:type="dxa" w:w="80"/>
              <w:right w:type="dxa" w:w="100"/>
            </w:tcMar>
          </w:tcPr>
          <w:p>
            <w:r>
              <w:rPr>
                <w:b/>
                <w:bCs/>
                <w:color w:val="FFFFFF"/>
                <w:sz w:val="19"/>
                <w:szCs w:val="19"/>
              </w:rPr>
              <w:t xml:space="preserve">Classification Task</w:t>
            </w:r>
          </w:p>
        </w:tc>
        <w:tc>
          <w:tcPr>
            <w:tcW w:type="dxa" w:w="2300"/>
            <w:shd w:fill="1F4E5C" w:val="clear"/>
            <w:tcMar>
              <w:top w:type="dxa" w:w="80"/>
              <w:left w:type="dxa" w:w="100"/>
              <w:bottom w:type="dxa" w:w="80"/>
              <w:right w:type="dxa" w:w="100"/>
            </w:tcMar>
          </w:tcPr>
          <w:p>
            <w:r>
              <w:rPr>
                <w:b/>
                <w:bCs/>
                <w:color w:val="FFFFFF"/>
                <w:sz w:val="19"/>
                <w:szCs w:val="19"/>
              </w:rPr>
              <w:t xml:space="preserve">Scale</w:t>
            </w:r>
          </w:p>
        </w:tc>
      </w:tr>
      <w:tr>
        <w:tc>
          <w:tcPr>
            <w:tcW w:type="dxa" w:w="500"/>
            <w:tcMar>
              <w:top w:type="dxa" w:w="80"/>
              <w:left w:type="dxa" w:w="100"/>
              <w:bottom w:type="dxa" w:w="80"/>
              <w:right w:type="dxa" w:w="100"/>
            </w:tcMar>
          </w:tcPr>
          <w:p>
            <w:r>
              <w:rPr>
                <w:b w:val="false"/>
                <w:bCs w:val="false"/>
                <w:color w:val="000000"/>
                <w:sz w:val="19"/>
                <w:szCs w:val="19"/>
              </w:rPr>
              <w:t xml:space="preserve">1</w:t>
            </w:r>
          </w:p>
        </w:tc>
        <w:tc>
          <w:tcPr>
            <w:tcW w:type="dxa" w:w="1600"/>
            <w:tcMar>
              <w:top w:type="dxa" w:w="80"/>
              <w:left w:type="dxa" w:w="100"/>
              <w:bottom w:type="dxa" w:w="80"/>
              <w:right w:type="dxa" w:w="100"/>
            </w:tcMar>
          </w:tcPr>
          <w:p>
            <w:r>
              <w:rPr>
                <w:b w:val="false"/>
                <w:bCs w:val="false"/>
                <w:color w:val="000000"/>
                <w:sz w:val="19"/>
                <w:szCs w:val="19"/>
              </w:rPr>
              <w:t xml:space="preserve">Social platforms</w:t>
            </w:r>
          </w:p>
        </w:tc>
        <w:tc>
          <w:tcPr>
            <w:tcW w:type="dxa" w:w="2400"/>
            <w:tcMar>
              <w:top w:type="dxa" w:w="80"/>
              <w:left w:type="dxa" w:w="100"/>
              <w:bottom w:type="dxa" w:w="80"/>
              <w:right w:type="dxa" w:w="100"/>
            </w:tcMar>
          </w:tcPr>
          <w:p>
            <w:r>
              <w:rPr>
                <w:b w:val="false"/>
                <w:bCs w:val="false"/>
                <w:color w:val="000000"/>
                <w:sz w:val="19"/>
                <w:szCs w:val="19"/>
              </w:rPr>
              <w:t xml:space="preserve">TwiBot-22</w:t>
            </w:r>
          </w:p>
        </w:tc>
        <w:tc>
          <w:tcPr>
            <w:tcW w:type="dxa" w:w="3200"/>
            <w:tcMar>
              <w:top w:type="dxa" w:w="80"/>
              <w:left w:type="dxa" w:w="100"/>
              <w:bottom w:type="dxa" w:w="80"/>
              <w:right w:type="dxa" w:w="100"/>
            </w:tcMar>
          </w:tcPr>
          <w:p>
            <w:r>
              <w:rPr>
                <w:b w:val="false"/>
                <w:bCs w:val="false"/>
                <w:color w:val="000000"/>
                <w:sz w:val="19"/>
                <w:szCs w:val="19"/>
              </w:rPr>
              <w:t xml:space="preserve">User classification: bot vs. human</w:t>
            </w:r>
          </w:p>
        </w:tc>
        <w:tc>
          <w:tcPr>
            <w:tcW w:type="dxa" w:w="2300"/>
            <w:tcMar>
              <w:top w:type="dxa" w:w="80"/>
              <w:left w:type="dxa" w:w="100"/>
              <w:bottom w:type="dxa" w:w="80"/>
              <w:right w:type="dxa" w:w="100"/>
            </w:tcMar>
          </w:tcPr>
          <w:p>
            <w:r>
              <w:rPr>
                <w:b w:val="false"/>
                <w:bCs w:val="false"/>
                <w:color w:val="000000"/>
                <w:sz w:val="19"/>
                <w:szCs w:val="19"/>
              </w:rPr>
              <w:t xml:space="preserve">~1M users, ~88.2M tweets, 170.2M edges, 14 relation types</w:t>
            </w:r>
          </w:p>
        </w:tc>
      </w:tr>
      <w:tr>
        <w:tc>
          <w:tcPr>
            <w:tcW w:type="dxa" w:w="500"/>
            <w:tcMar>
              <w:top w:type="dxa" w:w="80"/>
              <w:left w:type="dxa" w:w="100"/>
              <w:bottom w:type="dxa" w:w="80"/>
              <w:right w:type="dxa" w:w="100"/>
            </w:tcMar>
          </w:tcPr>
          <w:p>
            <w:r>
              <w:rPr>
                <w:b w:val="false"/>
                <w:bCs w:val="false"/>
                <w:color w:val="000000"/>
                <w:sz w:val="19"/>
                <w:szCs w:val="19"/>
              </w:rPr>
              <w:t xml:space="preserve">2</w:t>
            </w:r>
          </w:p>
        </w:tc>
        <w:tc>
          <w:tcPr>
            <w:tcW w:type="dxa" w:w="1600"/>
            <w:tcMar>
              <w:top w:type="dxa" w:w="80"/>
              <w:left w:type="dxa" w:w="100"/>
              <w:bottom w:type="dxa" w:w="80"/>
              <w:right w:type="dxa" w:w="100"/>
            </w:tcMar>
          </w:tcPr>
          <w:p>
            <w:r>
              <w:rPr>
                <w:b w:val="false"/>
                <w:bCs w:val="false"/>
                <w:color w:val="000000"/>
                <w:sz w:val="19"/>
                <w:szCs w:val="19"/>
              </w:rPr>
              <w:t xml:space="preserve">Citation network</w:t>
            </w:r>
          </w:p>
        </w:tc>
        <w:tc>
          <w:tcPr>
            <w:tcW w:type="dxa" w:w="2400"/>
            <w:tcMar>
              <w:top w:type="dxa" w:w="80"/>
              <w:left w:type="dxa" w:w="100"/>
              <w:bottom w:type="dxa" w:w="80"/>
              <w:right w:type="dxa" w:w="100"/>
            </w:tcMar>
          </w:tcPr>
          <w:p>
            <w:r>
              <w:rPr>
                <w:b w:val="false"/>
                <w:bCs w:val="false"/>
                <w:color w:val="000000"/>
                <w:sz w:val="19"/>
                <w:szCs w:val="19"/>
              </w:rPr>
              <w:t xml:space="preserve">ogbn-arxiv / tape-arxiv23 (OGB)</w:t>
            </w:r>
          </w:p>
        </w:tc>
        <w:tc>
          <w:tcPr>
            <w:tcW w:type="dxa" w:w="3200"/>
            <w:tcMar>
              <w:top w:type="dxa" w:w="80"/>
              <w:left w:type="dxa" w:w="100"/>
              <w:bottom w:type="dxa" w:w="80"/>
              <w:right w:type="dxa" w:w="100"/>
            </w:tcMar>
          </w:tcPr>
          <w:p>
            <w:r>
              <w:rPr>
                <w:b w:val="false"/>
                <w:bCs w:val="false"/>
                <w:color w:val="000000"/>
                <w:sz w:val="19"/>
                <w:szCs w:val="19"/>
              </w:rPr>
              <w:t xml:space="preserve">Paper subject-area classification, 40 classes</w:t>
            </w:r>
          </w:p>
        </w:tc>
        <w:tc>
          <w:tcPr>
            <w:tcW w:type="dxa" w:w="2300"/>
            <w:tcMar>
              <w:top w:type="dxa" w:w="80"/>
              <w:left w:type="dxa" w:w="100"/>
              <w:bottom w:type="dxa" w:w="80"/>
              <w:right w:type="dxa" w:w="100"/>
            </w:tcMar>
          </w:tcPr>
          <w:p>
            <w:r>
              <w:rPr>
                <w:b w:val="false"/>
                <w:bCs w:val="false"/>
                <w:color w:val="000000"/>
                <w:sz w:val="19"/>
                <w:szCs w:val="19"/>
              </w:rPr>
              <w:t xml:space="preserve">169,343 nodes, 1.17M edges</w:t>
            </w:r>
          </w:p>
        </w:tc>
      </w:tr>
      <w:tr>
        <w:tc>
          <w:tcPr>
            <w:tcW w:type="dxa" w:w="500"/>
            <w:tcMar>
              <w:top w:type="dxa" w:w="80"/>
              <w:left w:type="dxa" w:w="100"/>
              <w:bottom w:type="dxa" w:w="80"/>
              <w:right w:type="dxa" w:w="100"/>
            </w:tcMar>
          </w:tcPr>
          <w:p>
            <w:r>
              <w:rPr>
                <w:b w:val="false"/>
                <w:bCs w:val="false"/>
                <w:color w:val="000000"/>
                <w:sz w:val="19"/>
                <w:szCs w:val="19"/>
              </w:rPr>
              <w:t xml:space="preserve">3</w:t>
            </w:r>
          </w:p>
        </w:tc>
        <w:tc>
          <w:tcPr>
            <w:tcW w:type="dxa" w:w="1600"/>
            <w:tcMar>
              <w:top w:type="dxa" w:w="80"/>
              <w:left w:type="dxa" w:w="100"/>
              <w:bottom w:type="dxa" w:w="80"/>
              <w:right w:type="dxa" w:w="100"/>
            </w:tcMar>
          </w:tcPr>
          <w:p>
            <w:r>
              <w:rPr>
                <w:b w:val="false"/>
                <w:bCs w:val="false"/>
                <w:color w:val="000000"/>
                <w:sz w:val="19"/>
                <w:szCs w:val="19"/>
              </w:rPr>
              <w:t xml:space="preserve">E-commerce / social fraud</w:t>
            </w:r>
          </w:p>
        </w:tc>
        <w:tc>
          <w:tcPr>
            <w:tcW w:type="dxa" w:w="2400"/>
            <w:tcMar>
              <w:top w:type="dxa" w:w="80"/>
              <w:left w:type="dxa" w:w="100"/>
              <w:bottom w:type="dxa" w:w="80"/>
              <w:right w:type="dxa" w:w="100"/>
            </w:tcMar>
          </w:tcPr>
          <w:p>
            <w:r>
              <w:rPr>
                <w:b w:val="false"/>
                <w:bCs w:val="false"/>
                <w:color w:val="000000"/>
                <w:sz w:val="19"/>
                <w:szCs w:val="19"/>
              </w:rPr>
              <w:t xml:space="preserve">YelpChi &amp; Amazon Fraud Graph</w:t>
            </w:r>
          </w:p>
        </w:tc>
        <w:tc>
          <w:tcPr>
            <w:tcW w:type="dxa" w:w="3200"/>
            <w:tcMar>
              <w:top w:type="dxa" w:w="80"/>
              <w:left w:type="dxa" w:w="100"/>
              <w:bottom w:type="dxa" w:w="80"/>
              <w:right w:type="dxa" w:w="100"/>
            </w:tcMar>
          </w:tcPr>
          <w:p>
            <w:r>
              <w:rPr>
                <w:b w:val="false"/>
                <w:bCs w:val="false"/>
                <w:color w:val="000000"/>
                <w:sz w:val="19"/>
                <w:szCs w:val="19"/>
              </w:rPr>
              <w:t xml:space="preserve">Fraudulent review/reviewer classification, binary</w:t>
            </w:r>
          </w:p>
        </w:tc>
        <w:tc>
          <w:tcPr>
            <w:tcW w:type="dxa" w:w="2300"/>
            <w:tcMar>
              <w:top w:type="dxa" w:w="80"/>
              <w:left w:type="dxa" w:w="100"/>
              <w:bottom w:type="dxa" w:w="80"/>
              <w:right w:type="dxa" w:w="100"/>
            </w:tcMar>
          </w:tcPr>
          <w:p>
            <w:r>
              <w:rPr>
                <w:b w:val="false"/>
                <w:bCs w:val="false"/>
                <w:color w:val="000000"/>
                <w:sz w:val="19"/>
                <w:szCs w:val="19"/>
              </w:rPr>
              <w:t xml:space="preserve">45,954 &amp; 11,944 nodes, 3 relation types each</w:t>
            </w:r>
          </w:p>
        </w:tc>
      </w:tr>
      <w:tr>
        <w:tc>
          <w:tcPr>
            <w:tcW w:type="dxa" w:w="500"/>
            <w:tcMar>
              <w:top w:type="dxa" w:w="80"/>
              <w:left w:type="dxa" w:w="100"/>
              <w:bottom w:type="dxa" w:w="80"/>
              <w:right w:type="dxa" w:w="100"/>
            </w:tcMar>
          </w:tcPr>
          <w:p>
            <w:r>
              <w:rPr>
                <w:b w:val="false"/>
                <w:bCs w:val="false"/>
                <w:color w:val="000000"/>
                <w:sz w:val="19"/>
                <w:szCs w:val="19"/>
              </w:rPr>
              <w:t xml:space="preserve">4</w:t>
            </w:r>
          </w:p>
        </w:tc>
        <w:tc>
          <w:tcPr>
            <w:tcW w:type="dxa" w:w="1600"/>
            <w:tcMar>
              <w:top w:type="dxa" w:w="80"/>
              <w:left w:type="dxa" w:w="100"/>
              <w:bottom w:type="dxa" w:w="80"/>
              <w:right w:type="dxa" w:w="100"/>
            </w:tcMar>
          </w:tcPr>
          <w:p>
            <w:r>
              <w:rPr>
                <w:b w:val="false"/>
                <w:bCs w:val="false"/>
                <w:color w:val="000000"/>
                <w:sz w:val="19"/>
                <w:szCs w:val="19"/>
              </w:rPr>
              <w:t xml:space="preserve">Biomedical knowledge graph</w:t>
            </w:r>
          </w:p>
        </w:tc>
        <w:tc>
          <w:tcPr>
            <w:tcW w:type="dxa" w:w="2400"/>
            <w:tcMar>
              <w:top w:type="dxa" w:w="80"/>
              <w:left w:type="dxa" w:w="100"/>
              <w:bottom w:type="dxa" w:w="80"/>
              <w:right w:type="dxa" w:w="100"/>
            </w:tcMar>
          </w:tcPr>
          <w:p>
            <w:r>
              <w:rPr>
                <w:b w:val="false"/>
                <w:bCs w:val="false"/>
                <w:color w:val="000000"/>
                <w:sz w:val="19"/>
                <w:szCs w:val="19"/>
              </w:rPr>
              <w:t xml:space="preserve">PrimeKG</w:t>
            </w:r>
          </w:p>
        </w:tc>
        <w:tc>
          <w:tcPr>
            <w:tcW w:type="dxa" w:w="3200"/>
            <w:tcMar>
              <w:top w:type="dxa" w:w="80"/>
              <w:left w:type="dxa" w:w="100"/>
              <w:bottom w:type="dxa" w:w="80"/>
              <w:right w:type="dxa" w:w="100"/>
            </w:tcMar>
          </w:tcPr>
          <w:p>
            <w:r>
              <w:rPr>
                <w:b w:val="false"/>
                <w:bCs w:val="false"/>
                <w:color w:val="000000"/>
                <w:sz w:val="19"/>
                <w:szCs w:val="19"/>
              </w:rPr>
              <w:t xml:space="preserve">Drug-disease edge classification (indication / contraindication / off-label)</w:t>
            </w:r>
          </w:p>
        </w:tc>
        <w:tc>
          <w:tcPr>
            <w:tcW w:type="dxa" w:w="2300"/>
            <w:tcMar>
              <w:top w:type="dxa" w:w="80"/>
              <w:left w:type="dxa" w:w="100"/>
              <w:bottom w:type="dxa" w:w="80"/>
              <w:right w:type="dxa" w:w="100"/>
            </w:tcMar>
          </w:tcPr>
          <w:p>
            <w:r>
              <w:rPr>
                <w:b w:val="false"/>
                <w:bCs w:val="false"/>
                <w:color w:val="000000"/>
                <w:sz w:val="19"/>
                <w:szCs w:val="19"/>
              </w:rPr>
              <w:t xml:space="preserve">129,375 nodes, 4,050,249 relationships, 10 node types, ~30 relation types</w:t>
            </w:r>
          </w:p>
        </w:tc>
      </w:tr>
      <w:tr>
        <w:tc>
          <w:tcPr>
            <w:tcW w:type="dxa" w:w="500"/>
            <w:tcMar>
              <w:top w:type="dxa" w:w="80"/>
              <w:left w:type="dxa" w:w="100"/>
              <w:bottom w:type="dxa" w:w="80"/>
              <w:right w:type="dxa" w:w="100"/>
            </w:tcMar>
          </w:tcPr>
          <w:p>
            <w:r>
              <w:rPr>
                <w:b w:val="false"/>
                <w:bCs w:val="false"/>
                <w:color w:val="000000"/>
                <w:sz w:val="19"/>
                <w:szCs w:val="19"/>
              </w:rPr>
              <w:t xml:space="preserve">5</w:t>
            </w:r>
          </w:p>
        </w:tc>
        <w:tc>
          <w:tcPr>
            <w:tcW w:type="dxa" w:w="1600"/>
            <w:tcMar>
              <w:top w:type="dxa" w:w="80"/>
              <w:left w:type="dxa" w:w="100"/>
              <w:bottom w:type="dxa" w:w="80"/>
              <w:right w:type="dxa" w:w="100"/>
            </w:tcMar>
          </w:tcPr>
          <w:p>
            <w:r>
              <w:rPr>
                <w:b w:val="false"/>
                <w:bCs w:val="false"/>
                <w:color w:val="000000"/>
                <w:sz w:val="19"/>
                <w:szCs w:val="19"/>
              </w:rPr>
              <w:t xml:space="preserve">Molecular / drug</w:t>
            </w:r>
          </w:p>
        </w:tc>
        <w:tc>
          <w:tcPr>
            <w:tcW w:type="dxa" w:w="2400"/>
            <w:tcMar>
              <w:top w:type="dxa" w:w="80"/>
              <w:left w:type="dxa" w:w="100"/>
              <w:bottom w:type="dxa" w:w="80"/>
              <w:right w:type="dxa" w:w="100"/>
            </w:tcMar>
          </w:tcPr>
          <w:p>
            <w:r>
              <w:rPr>
                <w:b w:val="false"/>
                <w:bCs w:val="false"/>
                <w:color w:val="000000"/>
                <w:sz w:val="19"/>
                <w:szCs w:val="19"/>
              </w:rPr>
              <w:t xml:space="preserve">TDC TWOSIDES (+ DrugBank text)</w:t>
            </w:r>
          </w:p>
        </w:tc>
        <w:tc>
          <w:tcPr>
            <w:tcW w:type="dxa" w:w="3200"/>
            <w:tcMar>
              <w:top w:type="dxa" w:w="80"/>
              <w:left w:type="dxa" w:w="100"/>
              <w:bottom w:type="dxa" w:w="80"/>
              <w:right w:type="dxa" w:w="100"/>
            </w:tcMar>
          </w:tcPr>
          <w:p>
            <w:r>
              <w:rPr>
                <w:b w:val="false"/>
                <w:bCs w:val="false"/>
                <w:color w:val="000000"/>
                <w:sz w:val="19"/>
                <w:szCs w:val="19"/>
              </w:rPr>
              <w:t xml:space="preserve">Drug-drug interaction side-effect classification, multi-class</w:t>
            </w:r>
          </w:p>
        </w:tc>
        <w:tc>
          <w:tcPr>
            <w:tcW w:type="dxa" w:w="2300"/>
            <w:tcMar>
              <w:top w:type="dxa" w:w="80"/>
              <w:left w:type="dxa" w:w="100"/>
              <w:bottom w:type="dxa" w:w="80"/>
              <w:right w:type="dxa" w:w="100"/>
            </w:tcMar>
          </w:tcPr>
          <w:p>
            <w:r>
              <w:rPr>
                <w:b w:val="false"/>
                <w:bCs w:val="false"/>
                <w:color w:val="000000"/>
                <w:sz w:val="19"/>
                <w:szCs w:val="19"/>
              </w:rPr>
              <w:t xml:space="preserve">645 drugs, 4,649,441 interaction records (multi-label)</w:t>
            </w:r>
          </w:p>
        </w:tc>
      </w:tr>
    </w:tbl>
    <w:p>
      <w:pPr>
        <w:pStyle w:val="Heading1"/>
        <w:spacing w:after="150" w:before="300"/>
      </w:pPr>
      <w:r>
        <w:rPr>
          <w:b/>
          <w:bCs/>
          <w:color w:val="1F4E5C"/>
        </w:rPr>
        <w:t xml:space="preserve">Candidate Profiles</w:t>
      </w:r>
    </w:p>
    <w:p>
      <w:pPr>
        <w:pStyle w:val="Heading2"/>
        <w:spacing w:after="100" w:before="280"/>
      </w:pPr>
      <w:r>
        <w:rPr>
          <w:b/>
          <w:bCs/>
          <w:color w:val="1F4E5C"/>
        </w:rPr>
        <w:t xml:space="preserve">1. TwiBot-22 — Twitter/X Bot Detection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dxa" w:w="2200"/>
            <w:tcMar>
              <w:top w:type="dxa" w:w="80"/>
              <w:left w:type="dxa" w:w="100"/>
              <w:bottom w:type="dxa" w:w="80"/>
              <w:right w:type="dxa" w:w="100"/>
            </w:tcMar>
          </w:tcPr>
          <w:p>
            <w:r>
              <w:rPr>
                <w:b w:val="false"/>
                <w:bCs w:val="false"/>
                <w:color w:val="000000"/>
                <w:sz w:val="19"/>
                <w:szCs w:val="19"/>
              </w:rPr>
              <w:t xml:space="preserve">Source</w:t>
            </w:r>
          </w:p>
        </w:tc>
        <w:tc>
          <w:tcPr>
            <w:tcW w:type="dxa" w:w="7800"/>
            <w:shd w:fill="EAF1F2" w:val="clear"/>
            <w:tcMar>
              <w:top w:type="dxa" w:w="80"/>
              <w:left w:type="dxa" w:w="100"/>
              <w:bottom w:type="dxa" w:w="80"/>
              <w:right w:type="dxa" w:w="100"/>
            </w:tcMar>
          </w:tcPr>
          <w:p>
            <w:hyperlink w:history="1" r:id="rIdgt65ipknwsw8_w2qw7a5r">
              <w:r>
                <w:rPr>
                  <w:rStyle w:val="Hyperlink"/>
                  <w:color w:val="1155CC"/>
                  <w:u w:val="single"/>
                </w:rPr>
                <w:t xml:space="preserve">twibot22.github.io</w:t>
              </w:r>
            </w:hyperlink>
            <w:r>
              <w:rPr>
                <w:sz w:val="19"/>
                <w:szCs w:val="19"/>
              </w:rPr>
              <w:t xml:space="preserve">  ·  paper: arXiv:2206.04564 (NeurIPS 2022 Datasets &amp; Benchmarks)  ·  code: </w:t>
            </w:r>
            <w:hyperlink w:history="1" r:id="rId0bqp938ouvik06hyb1vvv">
              <w:r>
                <w:rPr>
                  <w:rStyle w:val="Hyperlink"/>
                  <w:color w:val="1155CC"/>
                  <w:u w:val="single"/>
                </w:rPr>
                <w:t xml:space="preserve">github.com/LuoUndergradXJTU/TwiBot-22</w:t>
              </w:r>
            </w:hyperlink>
          </w:p>
        </w:tc>
      </w:tr>
      <w:tr>
        <w:tc>
          <w:tcPr>
            <w:tcW w:type="dxa" w:w="2200"/>
            <w:tcMar>
              <w:top w:type="dxa" w:w="80"/>
              <w:left w:type="dxa" w:w="100"/>
              <w:bottom w:type="dxa" w:w="80"/>
              <w:right w:type="dxa" w:w="100"/>
            </w:tcMar>
          </w:tcPr>
          <w:p>
            <w:r>
              <w:rPr>
                <w:b w:val="false"/>
                <w:bCs w:val="false"/>
                <w:color w:val="000000"/>
                <w:sz w:val="19"/>
                <w:szCs w:val="19"/>
              </w:rPr>
              <w:t xml:space="preserve">Task type</w:t>
            </w:r>
          </w:p>
        </w:tc>
        <w:tc>
          <w:tcPr>
            <w:tcW w:type="dxa" w:w="7800"/>
            <w:shd w:fill="EAF1F2" w:val="clear"/>
            <w:tcMar>
              <w:top w:type="dxa" w:w="80"/>
              <w:left w:type="dxa" w:w="100"/>
              <w:bottom w:type="dxa" w:w="80"/>
              <w:right w:type="dxa" w:w="100"/>
            </w:tcMar>
          </w:tcPr>
          <w:p>
            <w:r>
              <w:rPr>
                <w:sz w:val="19"/>
                <w:szCs w:val="19"/>
              </w:rPr>
              <w:t xml:space="preserve">Binary node classification — bot vs. human account</w:t>
            </w:r>
          </w:p>
        </w:tc>
      </w:tr>
      <w:tr>
        <w:tc>
          <w:tcPr>
            <w:tcW w:type="dxa" w:w="2200"/>
            <w:tcMar>
              <w:top w:type="dxa" w:w="80"/>
              <w:left w:type="dxa" w:w="100"/>
              <w:bottom w:type="dxa" w:w="80"/>
              <w:right w:type="dxa" w:w="100"/>
            </w:tcMar>
          </w:tcPr>
          <w:p>
            <w:r>
              <w:rPr>
                <w:b w:val="false"/>
                <w:bCs w:val="false"/>
                <w:color w:val="000000"/>
                <w:sz w:val="19"/>
                <w:szCs w:val="19"/>
              </w:rPr>
              <w:t xml:space="preserve">Scale</w:t>
            </w:r>
          </w:p>
        </w:tc>
        <w:tc>
          <w:tcPr>
            <w:tcW w:type="dxa" w:w="7800"/>
            <w:shd w:fill="EAF1F2" w:val="clear"/>
            <w:tcMar>
              <w:top w:type="dxa" w:w="80"/>
              <w:left w:type="dxa" w:w="100"/>
              <w:bottom w:type="dxa" w:w="80"/>
              <w:right w:type="dxa" w:w="100"/>
            </w:tcMar>
          </w:tcPr>
          <w:p>
            <w:r>
              <w:rPr>
                <w:sz w:val="19"/>
                <w:szCs w:val="19"/>
              </w:rPr>
              <w:t xml:space="preserve">Largest graph-based bot-detection benchmark to date (~5× TwiBot-20 by user count), covering user profiles, ~88.2M tweets, and 14 relation types across 4 entity types (users, tweets, lists, hashtags) — e.g. follow, mention, retweet, reply, quote; benchmarked against 35 baseline methods across 9 datasets.</w:t>
            </w:r>
          </w:p>
        </w:tc>
      </w:tr>
    </w:tbl>
    <w:p>
      <w:pPr>
        <w:spacing w:after="160" w:line="300"/>
      </w:pPr>
      <w:r>
        <w:t xml:space="preserve">Why it fits: the follow/mention/retweet graph is genuine relational signal — bot networks organize into coordinated clusters, amplification chains, and sock-puppet structures that surface in the topology before they surface in any single account’s profile. Each node carries rich text (tweets, bio, display name) for the LLM branch and structural features (degree, community membership, clustering) for the GNN branch. The TwiBot-22 paper itself reports graph-based methods outperforming feature-only and text-only baselines — direct, citable evidence that structure adds predictive power here.</w:t>
      </w:r>
    </w:p>
    <w:p>
      <w:pPr>
        <w:spacing w:after="160" w:line="300"/>
      </w:pPr>
      <w:r>
        <w:t xml:space="preserve">Known limitations: access is gated — you email the maintainers with institutional affiliation to request the dataset link, not an instant download. Twitter/X’s tightened API policy means the shipped snapshot is static and cannot be refreshed or re-crawled against the live platform. GNN+LLM fusion for bot detection is already a moderately active sub-literature (BotRGCN, RGT, etc.), so the novelty case would rest specifically on your AGAF fusion and feedback-loop mechanism, not on the pairing of modalities being new.</w:t>
      </w:r>
    </w:p>
    <w:p>
      <w:pPr>
        <w:pStyle w:val="Heading2"/>
        <w:spacing w:after="100" w:before="280"/>
      </w:pPr>
      <w:r>
        <w:rPr>
          <w:b/>
          <w:bCs/>
          <w:color w:val="1F4E5C"/>
        </w:rPr>
        <w:t xml:space="preserve">2. ogbn-arxiv / tape-arxiv23 — Citation Network Node Classification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dxa" w:w="2200"/>
            <w:tcMar>
              <w:top w:type="dxa" w:w="80"/>
              <w:left w:type="dxa" w:w="100"/>
              <w:bottom w:type="dxa" w:w="80"/>
              <w:right w:type="dxa" w:w="100"/>
            </w:tcMar>
          </w:tcPr>
          <w:p>
            <w:r>
              <w:rPr>
                <w:b w:val="false"/>
                <w:bCs w:val="false"/>
                <w:color w:val="000000"/>
                <w:sz w:val="19"/>
                <w:szCs w:val="19"/>
              </w:rPr>
              <w:t xml:space="preserve">Source</w:t>
            </w:r>
          </w:p>
        </w:tc>
        <w:tc>
          <w:tcPr>
            <w:tcW w:type="dxa" w:w="7800"/>
            <w:shd w:fill="EAF1F2" w:val="clear"/>
            <w:tcMar>
              <w:top w:type="dxa" w:w="80"/>
              <w:left w:type="dxa" w:w="100"/>
              <w:bottom w:type="dxa" w:w="80"/>
              <w:right w:type="dxa" w:w="100"/>
            </w:tcMar>
          </w:tcPr>
          <w:p>
            <w:hyperlink w:history="1" r:id="rIdefbheyqxz5bega3y3kr4e">
              <w:r>
                <w:rPr>
                  <w:rStyle w:val="Hyperlink"/>
                  <w:color w:val="1155CC"/>
                  <w:u w:val="single"/>
                </w:rPr>
                <w:t xml:space="preserve">Open Graph Benchmark — ogbn-arxiv</w:t>
              </w:r>
            </w:hyperlink>
            <w:r>
              <w:rPr>
                <w:sz w:val="19"/>
                <w:szCs w:val="19"/>
              </w:rPr>
              <w:t xml:space="preserve">  ·  TAPE (Text-Attributed Graph) framework and tape-arxiv23 extension, arXiv:2305.19523</w:t>
            </w:r>
          </w:p>
        </w:tc>
      </w:tr>
      <w:tr>
        <w:tc>
          <w:tcPr>
            <w:tcW w:type="dxa" w:w="2200"/>
            <w:tcMar>
              <w:top w:type="dxa" w:w="80"/>
              <w:left w:type="dxa" w:w="100"/>
              <w:bottom w:type="dxa" w:w="80"/>
              <w:right w:type="dxa" w:w="100"/>
            </w:tcMar>
          </w:tcPr>
          <w:p>
            <w:r>
              <w:rPr>
                <w:b w:val="false"/>
                <w:bCs w:val="false"/>
                <w:color w:val="000000"/>
                <w:sz w:val="19"/>
                <w:szCs w:val="19"/>
              </w:rPr>
              <w:t xml:space="preserve">Task type</w:t>
            </w:r>
          </w:p>
        </w:tc>
        <w:tc>
          <w:tcPr>
            <w:tcW w:type="dxa" w:w="7800"/>
            <w:shd w:fill="EAF1F2" w:val="clear"/>
            <w:tcMar>
              <w:top w:type="dxa" w:w="80"/>
              <w:left w:type="dxa" w:w="100"/>
              <w:bottom w:type="dxa" w:w="80"/>
              <w:right w:type="dxa" w:w="100"/>
            </w:tcMar>
          </w:tcPr>
          <w:p>
            <w:r>
              <w:rPr>
                <w:sz w:val="19"/>
                <w:szCs w:val="19"/>
              </w:rPr>
              <w:t xml:space="preserve">40-way node classification — arXiv CS subject area of each paper</w:t>
            </w:r>
          </w:p>
        </w:tc>
      </w:tr>
      <w:tr>
        <w:tc>
          <w:tcPr>
            <w:tcW w:type="dxa" w:w="2200"/>
            <w:tcMar>
              <w:top w:type="dxa" w:w="80"/>
              <w:left w:type="dxa" w:w="100"/>
              <w:bottom w:type="dxa" w:w="80"/>
              <w:right w:type="dxa" w:w="100"/>
            </w:tcMar>
          </w:tcPr>
          <w:p>
            <w:r>
              <w:rPr>
                <w:b w:val="false"/>
                <w:bCs w:val="false"/>
                <w:color w:val="000000"/>
                <w:sz w:val="19"/>
                <w:szCs w:val="19"/>
              </w:rPr>
              <w:t xml:space="preserve">Scale</w:t>
            </w:r>
          </w:p>
        </w:tc>
        <w:tc>
          <w:tcPr>
            <w:tcW w:type="dxa" w:w="7800"/>
            <w:shd w:fill="EAF1F2" w:val="clear"/>
            <w:tcMar>
              <w:top w:type="dxa" w:w="80"/>
              <w:left w:type="dxa" w:w="100"/>
              <w:bottom w:type="dxa" w:w="80"/>
              <w:right w:type="dxa" w:w="100"/>
            </w:tcMar>
          </w:tcPr>
          <w:p>
            <w:r>
              <w:rPr>
                <w:sz w:val="19"/>
                <w:szCs w:val="19"/>
              </w:rPr>
              <w:t xml:space="preserve">169,343 nodes, 1,166,243 directed citation edges, native title + abstract text per node. Distributed via a single pip install (PyG / OGB) — no access request. Note: tape-arxiv23 is a separate, smaller companion dataset (46,198 papers, 78,548 citation edges, papers from 2023 onward) built for the same 40-class task — not a variant or subset of ogbn-arxiv itself.</w:t>
            </w:r>
          </w:p>
        </w:tc>
      </w:tr>
    </w:tbl>
    <w:p>
      <w:pPr>
        <w:spacing w:after="160" w:line="300"/>
      </w:pPr>
      <w:r>
        <w:t xml:space="preserve">Why it fits: citation is structural signal in the purest sense — a paper’s subject area is partly predictable from what it cites and is cited by, independent of its own text. Title/abstract text is the LLM branch; the citation graph is the GNN branch. This is also the cleanest existing precedent for your exact hypothesis, and the most rigorous: the TAPE framework holds the GNN backbone fixed (RevGAT) and only adds LLM-generated explanation features, moving accuracy from 70.8% (RevGAT on shallow/OGB features alone) to 77.50% (RevGAT with LLM explanations fused in). Because the backbone is held constant, that +6.7pp gap isolates the LLM's contribution specifically — the exact ablation logic your AGAF fusion needs to reproduce and extend with iterative refinement on top.</w:t>
      </w:r>
    </w:p>
    <w:p>
      <w:pPr>
        <w:spacing w:after="160" w:line="300"/>
      </w:pPr>
      <w:r>
        <w:t xml:space="preserve">Known limitations: lowest-friction option to stand up, but also the most heavily benchmarked corner of the GNN-LLM literature — several fusion architectures (TAPE, GLEM, GIANT) already report numbers here, so distinguishing AGAF plus iterative refinement from prior fusion methods needs to be explicit. Node features are academic text, not conversational, categorical, or operational text — a narrower semantic register than security logs, reviews, or clinical notes.</w:t>
      </w:r>
    </w:p>
    <w:p>
      <w:pPr>
        <w:pStyle w:val="Heading2"/>
        <w:spacing w:after="100" w:before="280"/>
      </w:pPr>
      <w:r>
        <w:rPr>
          <w:b/>
          <w:bCs/>
          <w:color w:val="1F4E5C"/>
        </w:rPr>
        <w:t xml:space="preserve">3. YelpChi &amp; Amazon Fraud Graph — Review / Reviewer Fraud Classification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dxa" w:w="2200"/>
            <w:tcMar>
              <w:top w:type="dxa" w:w="80"/>
              <w:left w:type="dxa" w:w="100"/>
              <w:bottom w:type="dxa" w:w="80"/>
              <w:right w:type="dxa" w:w="100"/>
            </w:tcMar>
          </w:tcPr>
          <w:p>
            <w:r>
              <w:rPr>
                <w:b w:val="false"/>
                <w:bCs w:val="false"/>
                <w:color w:val="000000"/>
                <w:sz w:val="19"/>
                <w:szCs w:val="19"/>
              </w:rPr>
              <w:t xml:space="preserve">Source</w:t>
            </w:r>
          </w:p>
        </w:tc>
        <w:tc>
          <w:tcPr>
            <w:tcW w:type="dxa" w:w="7800"/>
            <w:shd w:fill="EAF1F2" w:val="clear"/>
            <w:tcMar>
              <w:top w:type="dxa" w:w="80"/>
              <w:left w:type="dxa" w:w="100"/>
              <w:bottom w:type="dxa" w:w="80"/>
              <w:right w:type="dxa" w:w="100"/>
            </w:tcMar>
          </w:tcPr>
          <w:p>
            <w:r>
              <w:rPr>
                <w:sz w:val="19"/>
                <w:szCs w:val="19"/>
              </w:rPr>
              <w:t xml:space="preserve">Original data: Rayana &amp; Akoglu, KDD 2015. Graph benchmark packaging: DGL </w:t>
            </w:r>
            <w:hyperlink w:history="1" r:id="rIdeeow42h3y1ywjl8c3uqin">
              <w:r>
                <w:rPr>
                  <w:rStyle w:val="Hyperlink"/>
                  <w:color w:val="1155CC"/>
                  <w:u w:val="single"/>
                </w:rPr>
                <w:t xml:space="preserve">FraudDataset</w:t>
              </w:r>
            </w:hyperlink>
            <w:r>
              <w:rPr>
                <w:sz w:val="19"/>
                <w:szCs w:val="19"/>
              </w:rPr>
              <w:t xml:space="preserve">, introduced with CARE-GNN, arXiv:2008.08692, and used by most successors.</w:t>
            </w:r>
          </w:p>
        </w:tc>
      </w:tr>
      <w:tr>
        <w:tc>
          <w:tcPr>
            <w:tcW w:type="dxa" w:w="2200"/>
            <w:tcMar>
              <w:top w:type="dxa" w:w="80"/>
              <w:left w:type="dxa" w:w="100"/>
              <w:bottom w:type="dxa" w:w="80"/>
              <w:right w:type="dxa" w:w="100"/>
            </w:tcMar>
          </w:tcPr>
          <w:p>
            <w:r>
              <w:rPr>
                <w:b w:val="false"/>
                <w:bCs w:val="false"/>
                <w:color w:val="000000"/>
                <w:sz w:val="19"/>
                <w:szCs w:val="19"/>
              </w:rPr>
              <w:t xml:space="preserve">Task type</w:t>
            </w:r>
          </w:p>
        </w:tc>
        <w:tc>
          <w:tcPr>
            <w:tcW w:type="dxa" w:w="7800"/>
            <w:shd w:fill="EAF1F2" w:val="clear"/>
            <w:tcMar>
              <w:top w:type="dxa" w:w="80"/>
              <w:left w:type="dxa" w:w="100"/>
              <w:bottom w:type="dxa" w:w="80"/>
              <w:right w:type="dxa" w:w="100"/>
            </w:tcMar>
          </w:tcPr>
          <w:p>
            <w:r>
              <w:rPr>
                <w:sz w:val="19"/>
                <w:szCs w:val="19"/>
              </w:rPr>
              <w:t xml:space="preserve">Binary classification — fraudulent vs. genuine review (YelpChi) or reviewer (Amazon)</w:t>
            </w:r>
          </w:p>
        </w:tc>
      </w:tr>
      <w:tr>
        <w:tc>
          <w:tcPr>
            <w:tcW w:type="dxa" w:w="2200"/>
            <w:tcMar>
              <w:top w:type="dxa" w:w="80"/>
              <w:left w:type="dxa" w:w="100"/>
              <w:bottom w:type="dxa" w:w="80"/>
              <w:right w:type="dxa" w:w="100"/>
            </w:tcMar>
          </w:tcPr>
          <w:p>
            <w:r>
              <w:rPr>
                <w:b w:val="false"/>
                <w:bCs w:val="false"/>
                <w:color w:val="000000"/>
                <w:sz w:val="19"/>
                <w:szCs w:val="19"/>
              </w:rPr>
              <w:t xml:space="preserve">Scale</w:t>
            </w:r>
          </w:p>
        </w:tc>
        <w:tc>
          <w:tcPr>
            <w:tcW w:type="dxa" w:w="7800"/>
            <w:shd w:fill="EAF1F2" w:val="clear"/>
            <w:tcMar>
              <w:top w:type="dxa" w:w="80"/>
              <w:left w:type="dxa" w:w="100"/>
              <w:bottom w:type="dxa" w:w="80"/>
              <w:right w:type="dxa" w:w="100"/>
            </w:tcMar>
          </w:tcPr>
          <w:p>
            <w:r>
              <w:rPr>
                <w:sz w:val="19"/>
                <w:szCs w:val="19"/>
              </w:rPr>
              <w:t xml:space="preserve">YelpChi: 45,954 review nodes, 14.5% fraud rate, 3 relation types (same user / same product+rating / same product+month). Amazon: 11,944 user nodes, 9.5% fraud rate, 3 relation types (shared product / shared rating window / review-text similarity).</w:t>
            </w:r>
          </w:p>
        </w:tc>
      </w:tr>
    </w:tbl>
    <w:p>
      <w:pPr>
        <w:spacing w:after="160" w:line="300"/>
      </w:pPr>
      <w:r>
        <w:t xml:space="preserve">Why it fits: this is the textbook case for the “structure adds value” criterion. Fraudsters deliberately camouflage individual review text and ratings to look normal — the giveaway is relational: repeated pairings, rating-timing coincidence, review clusters. The GNN literature on this benchmark (CARE-GNN and successors) exists specifically because feature-only or text-only classifiers underperform relative to relational methods here; camouflage is the mechanism that makes structure necessary, not merely additive.</w:t>
      </w:r>
    </w:p>
    <w:p>
      <w:pPr>
        <w:spacing w:after="160" w:line="300"/>
      </w:pPr>
      <w:r>
        <w:t xml:space="preserve">Known limitations: the standard benchmark packaging ships pre-computed 32-/25-dimensional handcrafted numeric node features, not raw review text — a genuine LLM semantic branch requires rejoining the graph to the original Yelp/Amazon review text from the Rayana &amp; Akoglu release, an extra data-engineering step rather than a blocker. Both graphs are also small relative to the other candidates, which may limit headroom to show iterative refinement compounding across many cycles.</w:t>
      </w:r>
    </w:p>
    <w:p>
      <w:pPr>
        <w:pStyle w:val="Heading2"/>
        <w:spacing w:after="100" w:before="280"/>
      </w:pPr>
      <w:r>
        <w:rPr>
          <w:b/>
          <w:bCs/>
          <w:color w:val="1F4E5C"/>
        </w:rPr>
        <w:t xml:space="preserve">4. PrimeKG — Biomedical Knowledge Graph, Drug–Disease Edge Classification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dxa" w:w="2200"/>
            <w:tcMar>
              <w:top w:type="dxa" w:w="80"/>
              <w:left w:type="dxa" w:w="100"/>
              <w:bottom w:type="dxa" w:w="80"/>
              <w:right w:type="dxa" w:w="100"/>
            </w:tcMar>
          </w:tcPr>
          <w:p>
            <w:r>
              <w:rPr>
                <w:b w:val="false"/>
                <w:bCs w:val="false"/>
                <w:color w:val="000000"/>
                <w:sz w:val="19"/>
                <w:szCs w:val="19"/>
              </w:rPr>
              <w:t xml:space="preserve">Source</w:t>
            </w:r>
          </w:p>
        </w:tc>
        <w:tc>
          <w:tcPr>
            <w:tcW w:type="dxa" w:w="7800"/>
            <w:shd w:fill="EAF1F2" w:val="clear"/>
            <w:tcMar>
              <w:top w:type="dxa" w:w="80"/>
              <w:left w:type="dxa" w:w="100"/>
              <w:bottom w:type="dxa" w:w="80"/>
              <w:right w:type="dxa" w:w="100"/>
            </w:tcMar>
          </w:tcPr>
          <w:p>
            <w:hyperlink w:history="1" r:id="rIdwnjy8bwyl3e-hxl7curic">
              <w:r>
                <w:rPr>
                  <w:rStyle w:val="Hyperlink"/>
                  <w:color w:val="1155CC"/>
                  <w:u w:val="single"/>
                </w:rPr>
                <w:t xml:space="preserve">github.com/mims-harvard/PrimeKG</w:t>
              </w:r>
            </w:hyperlink>
            <w:r>
              <w:rPr>
                <w:sz w:val="19"/>
                <w:szCs w:val="19"/>
              </w:rPr>
              <w:t xml:space="preserve">  ·  Chandak, Huang &amp; Zitnik, Scientific Data 2023  ·  distributed via Harvard Dataverse</w:t>
            </w:r>
          </w:p>
        </w:tc>
      </w:tr>
      <w:tr>
        <w:tc>
          <w:tcPr>
            <w:tcW w:type="dxa" w:w="2200"/>
            <w:tcMar>
              <w:top w:type="dxa" w:w="80"/>
              <w:left w:type="dxa" w:w="100"/>
              <w:bottom w:type="dxa" w:w="80"/>
              <w:right w:type="dxa" w:w="100"/>
            </w:tcMar>
          </w:tcPr>
          <w:p>
            <w:r>
              <w:rPr>
                <w:b w:val="false"/>
                <w:bCs w:val="false"/>
                <w:color w:val="000000"/>
                <w:sz w:val="19"/>
                <w:szCs w:val="19"/>
              </w:rPr>
              <w:t xml:space="preserve">Task type</w:t>
            </w:r>
          </w:p>
        </w:tc>
        <w:tc>
          <w:tcPr>
            <w:tcW w:type="dxa" w:w="7800"/>
            <w:shd w:fill="EAF1F2" w:val="clear"/>
            <w:tcMar>
              <w:top w:type="dxa" w:w="80"/>
              <w:left w:type="dxa" w:w="100"/>
              <w:bottom w:type="dxa" w:w="80"/>
              <w:right w:type="dxa" w:w="100"/>
            </w:tcMar>
          </w:tcPr>
          <w:p>
            <w:r>
              <w:rPr>
                <w:sz w:val="19"/>
                <w:szCs w:val="19"/>
              </w:rPr>
              <w:t xml:space="preserve">Multi-class edge/relation classification — indication vs. contraindication vs. off-label use between a drug and a disease (extendable to other relation types among its 29–30 edge types)</w:t>
            </w:r>
          </w:p>
        </w:tc>
      </w:tr>
      <w:tr>
        <w:tc>
          <w:tcPr>
            <w:tcW w:type="dxa" w:w="2200"/>
            <w:tcMar>
              <w:top w:type="dxa" w:w="80"/>
              <w:left w:type="dxa" w:w="100"/>
              <w:bottom w:type="dxa" w:w="80"/>
              <w:right w:type="dxa" w:w="100"/>
            </w:tcMar>
          </w:tcPr>
          <w:p>
            <w:r>
              <w:rPr>
                <w:b w:val="false"/>
                <w:bCs w:val="false"/>
                <w:color w:val="000000"/>
                <w:sz w:val="19"/>
                <w:szCs w:val="19"/>
              </w:rPr>
              <w:t xml:space="preserve">Scale</w:t>
            </w:r>
          </w:p>
        </w:tc>
        <w:tc>
          <w:tcPr>
            <w:tcW w:type="dxa" w:w="7800"/>
            <w:shd w:fill="EAF1F2" w:val="clear"/>
            <w:tcMar>
              <w:top w:type="dxa" w:w="80"/>
              <w:left w:type="dxa" w:w="100"/>
              <w:bottom w:type="dxa" w:w="80"/>
              <w:right w:type="dxa" w:w="100"/>
            </w:tcMar>
          </w:tcPr>
          <w:p>
            <w:r>
              <w:rPr>
                <w:sz w:val="19"/>
                <w:szCs w:val="19"/>
              </w:rPr>
              <w:t xml:space="preserve">129,375 nodes, 4,050,249 relationships, 10 node types, and approximately 30 relation types, spanning 10 biological scales (Chandak, Huang &amp; Zitnik, Scientific Data 2023).</w:t>
            </w:r>
          </w:p>
        </w:tc>
      </w:tr>
    </w:tbl>
    <w:p>
      <w:pPr>
        <w:spacing w:after="160" w:line="300"/>
      </w:pPr>
      <w:r>
        <w:t xml:space="preserve">Why it fits: this is a knowledge graph in the literal sense — every drug and disease node carries clinical text descriptions (from Mayo Clinic, Orphanet, DrugBank) alongside the graph’s typed relational structure, so the dual-branch requirement is satisfied natively rather than bolted on. Drug repurposing is inherently relational: TxGNN, the leading GNN baseline on this graph, improved zero-shot indication prediction by 49% and contraindication prediction by 35% over non-graph baselines precisely because a drug’s therapeutic profile is best inferred from its position in the graph (shared targets, shared pathways) when direct evidence is sparse — a strong, already-published demonstration that structure carries information text alone does not.</w:t>
      </w:r>
    </w:p>
    <w:p>
      <w:pPr>
        <w:spacing w:after="160" w:line="300"/>
      </w:pPr>
      <w:r>
        <w:t xml:space="preserve">Known limitations: PrimeKG’s native framing is link prediction / knowledge-graph completion, not a single off-the-shelf classification split — you would define the classification task (edge-type prediction among indication/contraindication/off-label) yourself, which is more setup work than the OGB- or DGL-packaged options. It is also the most “IDS-adjacent” of the five in spirit (structure + KG + LLM, closest to your original architecture), so it is a natural stepping stone but gives the least distance from the security framing if your supervisor wants a domain that reads as clearly different.</w:t>
      </w:r>
    </w:p>
    <w:p>
      <w:pPr>
        <w:pStyle w:val="Heading2"/>
        <w:spacing w:after="100" w:before="280"/>
      </w:pPr>
      <w:r>
        <w:rPr>
          <w:b/>
          <w:bCs/>
          <w:color w:val="1F4E5C"/>
        </w:rPr>
        <w:t xml:space="preserve">5. TDC TWOSIDES (+ DrugBank text) — Drug–Drug Interaction Classification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dxa" w:w="2200"/>
            <w:tcMar>
              <w:top w:type="dxa" w:w="80"/>
              <w:left w:type="dxa" w:w="100"/>
              <w:bottom w:type="dxa" w:w="80"/>
              <w:right w:type="dxa" w:w="100"/>
            </w:tcMar>
          </w:tcPr>
          <w:p>
            <w:r>
              <w:rPr>
                <w:b w:val="false"/>
                <w:bCs w:val="false"/>
                <w:color w:val="000000"/>
                <w:sz w:val="19"/>
                <w:szCs w:val="19"/>
              </w:rPr>
              <w:t xml:space="preserve">Source</w:t>
            </w:r>
          </w:p>
        </w:tc>
        <w:tc>
          <w:tcPr>
            <w:tcW w:type="dxa" w:w="7800"/>
            <w:shd w:fill="EAF1F2" w:val="clear"/>
            <w:tcMar>
              <w:top w:type="dxa" w:w="80"/>
              <w:left w:type="dxa" w:w="100"/>
              <w:bottom w:type="dxa" w:w="80"/>
              <w:right w:type="dxa" w:w="100"/>
            </w:tcMar>
          </w:tcPr>
          <w:p>
            <w:hyperlink w:history="1" r:id="rIdsfxn0meqottafjfdtt8zm">
              <w:r>
                <w:rPr>
                  <w:rStyle w:val="Hyperlink"/>
                  <w:color w:val="1155CC"/>
                  <w:u w:val="single"/>
                </w:rPr>
                <w:t xml:space="preserve">Therapeutics Data Commons</w:t>
              </w:r>
            </w:hyperlink>
            <w:r>
              <w:rPr>
                <w:sz w:val="19"/>
                <w:szCs w:val="19"/>
              </w:rPr>
              <w:t xml:space="preserve">  ·  arXiv:2102.09548  ·  built on Tatonetti et al.’s original side-effect resource</w:t>
            </w:r>
          </w:p>
        </w:tc>
      </w:tr>
      <w:tr>
        <w:tc>
          <w:tcPr>
            <w:tcW w:type="dxa" w:w="2200"/>
            <w:tcMar>
              <w:top w:type="dxa" w:w="80"/>
              <w:left w:type="dxa" w:w="100"/>
              <w:bottom w:type="dxa" w:w="80"/>
              <w:right w:type="dxa" w:w="100"/>
            </w:tcMar>
          </w:tcPr>
          <w:p>
            <w:r>
              <w:rPr>
                <w:b w:val="false"/>
                <w:bCs w:val="false"/>
                <w:color w:val="000000"/>
                <w:sz w:val="19"/>
                <w:szCs w:val="19"/>
              </w:rPr>
              <w:t xml:space="preserve">Task type</w:t>
            </w:r>
          </w:p>
        </w:tc>
        <w:tc>
          <w:tcPr>
            <w:tcW w:type="dxa" w:w="7800"/>
            <w:shd w:fill="EAF1F2" w:val="clear"/>
            <w:tcMar>
              <w:top w:type="dxa" w:w="80"/>
              <w:left w:type="dxa" w:w="100"/>
              <w:bottom w:type="dxa" w:w="80"/>
              <w:right w:type="dxa" w:w="100"/>
            </w:tcMar>
          </w:tcPr>
          <w:p>
            <w:r>
              <w:rPr>
                <w:sz w:val="19"/>
                <w:szCs w:val="19"/>
              </w:rPr>
              <w:t xml:space="preserve">Multi-class / multi-label classification — which side effect(s) result from a given drug pair’s interaction</w:t>
            </w:r>
          </w:p>
        </w:tc>
      </w:tr>
      <w:tr>
        <w:tc>
          <w:tcPr>
            <w:tcW w:type="dxa" w:w="2200"/>
            <w:tcMar>
              <w:top w:type="dxa" w:w="80"/>
              <w:left w:type="dxa" w:w="100"/>
              <w:bottom w:type="dxa" w:w="80"/>
              <w:right w:type="dxa" w:w="100"/>
            </w:tcMar>
          </w:tcPr>
          <w:p>
            <w:r>
              <w:rPr>
                <w:b w:val="false"/>
                <w:bCs w:val="false"/>
                <w:color w:val="000000"/>
                <w:sz w:val="19"/>
                <w:szCs w:val="19"/>
              </w:rPr>
              <w:t xml:space="preserve">Scale</w:t>
            </w:r>
          </w:p>
        </w:tc>
        <w:tc>
          <w:tcPr>
            <w:tcW w:type="dxa" w:w="7800"/>
            <w:shd w:fill="EAF1F2" w:val="clear"/>
            <w:tcMar>
              <w:top w:type="dxa" w:w="80"/>
              <w:left w:type="dxa" w:w="100"/>
              <w:bottom w:type="dxa" w:w="80"/>
              <w:right w:type="dxa" w:w="100"/>
            </w:tcMar>
          </w:tcPr>
          <w:p>
            <w:r>
              <w:rPr>
                <w:sz w:val="19"/>
                <w:szCs w:val="19"/>
              </w:rPr>
              <w:t xml:space="preserve">645 drugs (nodes); 4,649,441 drug-pair–side-effect records in the official TDC release (multi-label — a drug pair can trigger several side effects). The commonly cited “963 classes” figure comes from a specific filtered preprocessing variant (e.g., the BioSNAP-derived release used by HDN-DDI/DeSIDE-DDI, ~4.58M interactions after removing rare side effects), not a base TDC statistic — cite that specific setup if you use it.</w:t>
            </w:r>
          </w:p>
        </w:tc>
      </w:tr>
    </w:tbl>
    <w:p>
      <w:pPr>
        <w:spacing w:after="160" w:line="300"/>
      </w:pPr>
      <w:r>
        <w:t xml:space="preserve">Why it fits: each drug’s molecular graph (atoms/bonds via SMILES, standard GNN input for molecular property prediction) is the GNN branch; drug descriptions and mechanism-of-action text — available from DrugBank, which TWOSIDES and KGNN both draw on, and already in your paper corpus via KGNN (IJCAI 2020) — form the LLM branch. Interaction outcomes are combinatorial and relational by construction: an interaction type depends on the joint structure of two molecules and their shared biological targets, not on either drug’s features in isolation, which is close to a formal guarantee that structure matters here.</w:t>
      </w:r>
    </w:p>
    <w:p>
      <w:pPr>
        <w:spacing w:after="160" w:line="300"/>
      </w:pPr>
      <w:r>
        <w:t xml:space="preserve">Known limitations: SMILES strings are a compact molecular notation, not natural-language text — the semantic branch is stronger if you pull in DrugBank’s free-text drug descriptions and mechanism-of-action fields alongside SMILES, meaning two data sources to assemble rather than one. At 963 classes the label space is long-tailed (many interaction types are rare), so expect to filter or bucket labels, the way KGNN and the TWOSIDES benchmark papers already do.</w:t>
      </w:r>
    </w:p>
    <w:p>
      <w:pPr>
        <w:pStyle w:val="Heading1"/>
        <w:spacing w:after="150" w:before="300"/>
      </w:pPr>
      <w:r>
        <w:rPr>
          <w:b/>
          <w:bCs/>
          <w:color w:val="1F4E5C"/>
        </w:rPr>
        <w:t xml:space="preserve">Recommended Primary Dataset: ogbn-arxiv</w:t>
      </w:r>
    </w:p>
    <w:p>
      <w:pPr>
        <w:spacing w:after="160" w:line="300"/>
      </w:pPr>
      <w:r>
        <w:t xml:space="preserve">Of the five, ogbn-arxiv is the most suitable single dataset to lead with. It is the only candidate that satisfies all five screening criteria with no engineering detour: native title/abstract text (LLM branch) and a native citation graph (GNN branch) ship together in one PyG/OGB download, with no access request, no re-joining of a separate text corpus, and no need to define a custom task split. Scale (169,343 nodes, 1.17M edges) is large enough to give the iterative refinement loop room to operate across multiple cycles, but not so large that a first cross-domain validation becomes a compute project in its own right.</w:t>
      </w:r>
    </w:p>
    <w:p>
      <w:pPr>
        <w:spacing w:after="160" w:line="300"/>
      </w:pPr>
      <w:r>
        <w:t xml:space="preserve">The decisive factor is the corrected TAPE evidence above: because that ablation holds the GNN backbone (RevGAT) fixed and only toggles the LLM-explanation features on or off, the 70.8% → 77.50% gain is a controlled, apples-to-apples test of precisely your hypothesis — GNN structure plus LLM semantics beats structure alone. No other candidate in this shortlist has an existing result that isolates the fusion contribution this cleanly. That means AGAF and the feedback loop can be positioned as a documented improvement on top of a known, citable fusion gain, benchmarked against the same dataset TAPE, GLEM, and GIANT already report on, rather than needing to establish a fusion effect from zero.</w:t>
      </w:r>
    </w:p>
    <w:p>
      <w:pPr>
        <w:spacing w:after="160" w:line="300"/>
      </w:pPr>
      <w:r>
        <w:t xml:space="preserve">Two extensions follow naturally rather than compete with this pick. tape-arxiv23 (46,198 papers, 78,548 edges, 2023-onward) is the same task on papers outside any pretrained LLM's knowledge cutoff — run it second, on the same architecture, as a check that AGAF's gains hold when the LLM branch cannot rely on memorized paper content, which pre-empts an obvious reviewer objection. YelpChi/Amazon fraud is the strongest choice for a second, structurally distinct domain: because camouflage makes structure necessary rather than merely additive there, it is a sharper test of whether AGAF's fusion attention actually learns to reweight toward structure when semantics are corrupted — a different failure mode than anything ogbn-arxiv can exercise. PrimeKG and TWOSIDES remain valid but heavier third-stage options: both need more upfront data assembly (a custom edge-classification split for PrimeKG; joining SMILES to DrugBank free text for TWOSIDES) than the payoff of “one more domain” justifies before the first two are done.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t65ipknwsw8_w2qw7a5r" Type="http://schemas.openxmlformats.org/officeDocument/2006/relationships/hyperlink" Target="https://twibot22.github.io/" TargetMode="External"/><Relationship Id="rId0bqp938ouvik06hyb1vvv" Type="http://schemas.openxmlformats.org/officeDocument/2006/relationships/hyperlink" Target="https://github.com/LuoUndergradXJTU/TwiBot-22" TargetMode="External"/><Relationship Id="rIdefbheyqxz5bega3y3kr4e" Type="http://schemas.openxmlformats.org/officeDocument/2006/relationships/hyperlink" Target="https://ogb.stanford.edu/docs/nodeprop/#ogbn-arxiv" TargetMode="External"/><Relationship Id="rIdeeow42h3y1ywjl8c3uqin" Type="http://schemas.openxmlformats.org/officeDocument/2006/relationships/hyperlink" Target="https://www.dgl.ai/dgl_docs/generated/dgl.data.FraudDataset.html" TargetMode="External"/><Relationship Id="rIdwnjy8bwyl3e-hxl7curic" Type="http://schemas.openxmlformats.org/officeDocument/2006/relationships/hyperlink" Target="https://github.com/mims-harvard/PrimeKG" TargetMode="External"/><Relationship Id="rIdsfxn0meqottafjfdtt8zm" Type="http://schemas.openxmlformats.org/officeDocument/2006/relationships/hyperlink" Target="https://tdcommons.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2026-07-21T13:22:12.936Z</dcterms:created>
  <dcterms:modified xsi:type="dcterms:W3CDTF">2026-07-21T13:22:12.942Z</dcterms:modified>
</cp:coreProperties>
</file>

<file path=docProps/custom.xml><?xml version="1.0" encoding="utf-8"?>
<Properties xmlns="http://schemas.openxmlformats.org/officeDocument/2006/custom-properties" xmlns:vt="http://schemas.openxmlformats.org/officeDocument/2006/docPropsVTypes"/>
</file>