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40"/>
        <w:jc w:val="center"/>
        <w:rPr/>
      </w:pPr>
      <w:r>
        <w:rPr>
          <w:rFonts w:ascii="Calibri" w:hAnsi="Calibri"/>
          <w:b/>
          <w:color w:val="555555"/>
        </w:rPr>
        <w:t>FAST – NATIONAL UNIVERSITY OF COMPUTER AND EMERGING SCIENCES</w:t>
      </w:r>
    </w:p>
    <w:p>
      <w:pPr>
        <w:pStyle w:val="Normal"/>
        <w:spacing w:before="0" w:after="600"/>
        <w:jc w:val="center"/>
        <w:rPr/>
      </w:pPr>
      <w:r>
        <w:rPr>
          <w:rFonts w:ascii="Calibri" w:hAnsi="Calibri"/>
          <w:color w:val="555555"/>
          <w:sz w:val="20"/>
        </w:rPr>
        <w:t>Department of Data Science</w:t>
      </w:r>
    </w:p>
    <w:p>
      <w:pPr>
        <w:pStyle w:val="Normal"/>
        <w:spacing w:before="0" w:after="0"/>
        <w:jc w:val="center"/>
        <w:rPr/>
      </w:pPr>
      <w:r>
        <w:rPr>
          <w:rFonts w:ascii="Calibri" w:hAnsi="Calibri"/>
          <w:b/>
          <w:color w:val="1B5E20"/>
          <w:sz w:val="72"/>
        </w:rPr>
        <w:t xml:space="preserve">  </w:t>
      </w:r>
      <w:r>
        <w:rPr>
          <w:rFonts w:ascii="Calibri" w:hAnsi="Calibri"/>
          <w:b/>
          <w:color w:val="1B5E20"/>
          <w:sz w:val="72"/>
        </w:rPr>
        <w:t>CRICLYTICS</w:t>
      </w:r>
    </w:p>
    <w:p>
      <w:pPr>
        <w:pStyle w:val="Normal"/>
        <w:spacing w:before="80" w:after="400"/>
        <w:jc w:val="center"/>
        <w:rPr/>
      </w:pPr>
      <w:r>
        <w:rPr>
          <w:rFonts w:ascii="Calibri" w:hAnsi="Calibri"/>
          <w:i/>
          <w:color w:val="2E7D32"/>
          <w:sz w:val="28"/>
        </w:rPr>
        <w:t>Context-Aware Cricket Analytics &amp; Probability Platform</w:t>
      </w:r>
    </w:p>
    <w:p>
      <w:pPr>
        <w:pStyle w:val="Normal"/>
        <w:spacing w:before="0" w:after="400"/>
        <w:jc w:val="center"/>
        <w:rPr/>
      </w:pPr>
      <w:r>
        <w:rPr>
          <w:rFonts w:ascii="Calibri" w:hAnsi="Calibri"/>
          <w:color w:val="FFD600"/>
        </w:rPr>
        <w:t>━━━━━━━━━━━━━━━━━━━━━━━━━━━━━━━━━━━━━━━━━━━━━━━━━━━━━━━</w:t>
      </w:r>
    </w:p>
    <w:p>
      <w:pPr>
        <w:pStyle w:val="Normal"/>
        <w:spacing w:before="0" w:after="120"/>
        <w:jc w:val="center"/>
        <w:rPr/>
      </w:pPr>
      <w:r>
        <w:rPr>
          <w:rFonts w:ascii="Calibri" w:hAnsi="Calibri"/>
          <w:b/>
          <w:color w:val="1B5E20"/>
          <w:sz w:val="26"/>
        </w:rPr>
        <w:t>ITERATION 0 – PROJECT PROPOSAL</w:t>
      </w:r>
    </w:p>
    <w:p>
      <w:pPr>
        <w:pStyle w:val="Normal"/>
        <w:spacing w:before="0" w:after="800"/>
        <w:jc w:val="center"/>
        <w:rPr/>
      </w:pPr>
      <w:r>
        <w:rPr>
          <w:rFonts w:ascii="Calibri" w:hAnsi="Calibri"/>
          <w:color w:val="555555"/>
        </w:rPr>
        <w:t>Software Engineering  |  BS Data Science</w:t>
      </w:r>
    </w:p>
    <w:tbl>
      <w:tblPr>
        <w:tblStyle w:val="TableGrid"/>
        <w:tblW w:w="806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91"/>
        <w:gridCol w:w="5473"/>
      </w:tblGrid>
      <w:tr>
        <w:trPr/>
        <w:tc>
          <w:tcPr>
            <w:tcW w:w="2591" w:type="dxa"/>
            <w:tcBorders>
              <w:top w:val="single" w:sz="4" w:space="0" w:color="2E7D32"/>
              <w:start w:val="single" w:sz="4" w:space="0" w:color="2E7D32"/>
              <w:bottom w:val="single" w:sz="4" w:space="0" w:color="2E7D32"/>
              <w:end w:val="single" w:sz="4" w:space="0" w:color="2E7D32"/>
            </w:tcBorders>
            <w:shd w:color="auto" w:fill="1B5E20" w:val="clear"/>
            <w:vAlign w:val="center"/>
          </w:tcPr>
          <w:p>
            <w:pPr>
              <w:pStyle w:val="Normal"/>
              <w:widowControl/>
              <w:spacing w:lineRule="auto" w:line="240" w:before="80" w:after="80"/>
              <w:jc w:val="end"/>
              <w:rPr>
                <w:rFonts w:ascii="Cambria" w:hAnsi="Cambria" w:eastAsia="ＭＳ 明朝" w:cs=""/>
                <w:kern w:val="0"/>
                <w:sz w:val="22"/>
                <w:szCs w:val="22"/>
                <w:lang w:val="en-US" w:eastAsia="en-US" w:bidi="ar-SA"/>
              </w:rPr>
            </w:pPr>
            <w:r>
              <w:rPr>
                <w:rFonts w:eastAsia="ＭＳ 明朝" w:cs="" w:ascii="Calibri" w:hAnsi="Calibri"/>
                <w:b/>
                <w:color w:val="FFFFFF"/>
                <w:kern w:val="0"/>
                <w:sz w:val="21"/>
                <w:szCs w:val="22"/>
                <w:lang w:val="en-US" w:eastAsia="en-US" w:bidi="ar-SA"/>
              </w:rPr>
              <w:t>Member</w:t>
            </w:r>
          </w:p>
        </w:tc>
        <w:tc>
          <w:tcPr>
            <w:tcW w:w="5473" w:type="dxa"/>
            <w:tcBorders>
              <w:top w:val="single" w:sz="4" w:space="0" w:color="2E7D32"/>
              <w:start w:val="single" w:sz="4" w:space="0" w:color="2E7D32"/>
              <w:bottom w:val="single" w:sz="4" w:space="0" w:color="2E7D32"/>
              <w:end w:val="single" w:sz="4" w:space="0" w:color="2E7D32"/>
            </w:tcBorders>
            <w:shd w:color="auto" w:fill="F1F8E9" w:val="clear"/>
            <w:vAlign w:val="center"/>
          </w:tcPr>
          <w:p>
            <w:pPr>
              <w:pStyle w:val="Normal"/>
              <w:widowControl/>
              <w:spacing w:lineRule="auto" w:line="240" w:before="80" w:after="80"/>
              <w:jc w:val="start"/>
              <w:rPr>
                <w:rFonts w:ascii="Cambria" w:hAnsi="Cambria" w:eastAsia="ＭＳ 明朝" w:cs=""/>
                <w:kern w:val="0"/>
                <w:sz w:val="22"/>
                <w:szCs w:val="22"/>
                <w:lang w:val="en-US" w:eastAsia="en-US" w:bidi="ar-SA"/>
              </w:rPr>
            </w:pPr>
            <w:r>
              <w:rPr>
                <w:rFonts w:eastAsia="ＭＳ 明朝" w:cs="" w:ascii="Calibri" w:hAnsi="Calibri"/>
                <w:color w:val="212121"/>
                <w:kern w:val="0"/>
                <w:sz w:val="21"/>
                <w:szCs w:val="22"/>
                <w:lang w:val="en-US" w:eastAsia="en-US" w:bidi="ar-SA"/>
              </w:rPr>
              <w:t>Muhammad Ali Aamir  (24L-2558)</w:t>
            </w:r>
          </w:p>
        </w:tc>
      </w:tr>
      <w:tr>
        <w:trPr/>
        <w:tc>
          <w:tcPr>
            <w:tcW w:w="2591" w:type="dxa"/>
            <w:tcBorders>
              <w:top w:val="single" w:sz="4" w:space="0" w:color="2E7D32"/>
              <w:start w:val="single" w:sz="4" w:space="0" w:color="2E7D32"/>
              <w:bottom w:val="single" w:sz="4" w:space="0" w:color="2E7D32"/>
              <w:end w:val="single" w:sz="4" w:space="0" w:color="2E7D32"/>
            </w:tcBorders>
            <w:shd w:color="auto" w:fill="1B5E20" w:val="clear"/>
            <w:vAlign w:val="center"/>
          </w:tcPr>
          <w:p>
            <w:pPr>
              <w:pStyle w:val="Normal"/>
              <w:widowControl/>
              <w:spacing w:lineRule="auto" w:line="240" w:before="80" w:after="80"/>
              <w:jc w:val="end"/>
              <w:rPr>
                <w:rFonts w:ascii="Cambria" w:hAnsi="Cambria" w:eastAsia="ＭＳ 明朝" w:cs=""/>
                <w:kern w:val="0"/>
                <w:sz w:val="22"/>
                <w:szCs w:val="22"/>
                <w:lang w:val="en-US" w:eastAsia="en-US" w:bidi="ar-SA"/>
              </w:rPr>
            </w:pPr>
            <w:r>
              <w:rPr>
                <w:rFonts w:eastAsia="ＭＳ 明朝" w:cs="" w:ascii="Calibri" w:hAnsi="Calibri"/>
                <w:b/>
                <w:color w:val="FFFFFF"/>
                <w:kern w:val="0"/>
                <w:sz w:val="21"/>
                <w:szCs w:val="22"/>
                <w:lang w:val="en-US" w:eastAsia="en-US" w:bidi="ar-SA"/>
              </w:rPr>
              <w:t>Member</w:t>
            </w:r>
          </w:p>
        </w:tc>
        <w:tc>
          <w:tcPr>
            <w:tcW w:w="5473" w:type="dxa"/>
            <w:tcBorders>
              <w:top w:val="single" w:sz="4" w:space="0" w:color="2E7D32"/>
              <w:start w:val="single" w:sz="4" w:space="0" w:color="2E7D32"/>
              <w:bottom w:val="single" w:sz="4" w:space="0" w:color="2E7D32"/>
              <w:end w:val="single" w:sz="4" w:space="0" w:color="2E7D32"/>
            </w:tcBorders>
            <w:shd w:color="auto" w:fill="F1F8E9" w:val="clear"/>
            <w:vAlign w:val="center"/>
          </w:tcPr>
          <w:p>
            <w:pPr>
              <w:pStyle w:val="Normal"/>
              <w:widowControl/>
              <w:spacing w:lineRule="auto" w:line="240" w:before="80" w:after="80"/>
              <w:jc w:val="start"/>
              <w:rPr>
                <w:rFonts w:ascii="Cambria" w:hAnsi="Cambria" w:eastAsia="ＭＳ 明朝" w:cs=""/>
                <w:kern w:val="0"/>
                <w:sz w:val="22"/>
                <w:szCs w:val="22"/>
                <w:lang w:val="en-US" w:eastAsia="en-US" w:bidi="ar-SA"/>
              </w:rPr>
            </w:pPr>
            <w:r>
              <w:rPr>
                <w:rFonts w:eastAsia="ＭＳ 明朝" w:cs="" w:ascii="Calibri" w:hAnsi="Calibri"/>
                <w:color w:val="212121"/>
                <w:kern w:val="0"/>
                <w:sz w:val="21"/>
                <w:szCs w:val="22"/>
                <w:lang w:val="en-US" w:eastAsia="en-US" w:bidi="ar-SA"/>
              </w:rPr>
              <w:t>Muhammad Mahad Mahmood  (24L-2548)</w:t>
            </w:r>
          </w:p>
        </w:tc>
      </w:tr>
      <w:tr>
        <w:trPr/>
        <w:tc>
          <w:tcPr>
            <w:tcW w:w="2591" w:type="dxa"/>
            <w:tcBorders>
              <w:top w:val="single" w:sz="4" w:space="0" w:color="2E7D32"/>
              <w:start w:val="single" w:sz="4" w:space="0" w:color="2E7D32"/>
              <w:bottom w:val="single" w:sz="4" w:space="0" w:color="2E7D32"/>
              <w:end w:val="single" w:sz="4" w:space="0" w:color="2E7D32"/>
            </w:tcBorders>
            <w:shd w:color="auto" w:fill="1B5E20" w:val="clear"/>
            <w:vAlign w:val="center"/>
          </w:tcPr>
          <w:p>
            <w:pPr>
              <w:pStyle w:val="Normal"/>
              <w:widowControl/>
              <w:spacing w:lineRule="auto" w:line="240" w:before="80" w:after="80"/>
              <w:jc w:val="end"/>
              <w:rPr>
                <w:rFonts w:ascii="Cambria" w:hAnsi="Cambria" w:eastAsia="ＭＳ 明朝" w:cs=""/>
                <w:kern w:val="0"/>
                <w:sz w:val="22"/>
                <w:szCs w:val="22"/>
                <w:lang w:val="en-US" w:eastAsia="en-US" w:bidi="ar-SA"/>
              </w:rPr>
            </w:pPr>
            <w:r>
              <w:rPr>
                <w:rFonts w:eastAsia="ＭＳ 明朝" w:cs="" w:ascii="Calibri" w:hAnsi="Calibri"/>
                <w:b/>
                <w:color w:val="FFFFFF"/>
                <w:kern w:val="0"/>
                <w:sz w:val="21"/>
                <w:szCs w:val="22"/>
                <w:lang w:val="en-US" w:eastAsia="en-US" w:bidi="ar-SA"/>
              </w:rPr>
              <w:t>Project Type</w:t>
            </w:r>
          </w:p>
        </w:tc>
        <w:tc>
          <w:tcPr>
            <w:tcW w:w="5473" w:type="dxa"/>
            <w:tcBorders>
              <w:top w:val="single" w:sz="4" w:space="0" w:color="2E7D32"/>
              <w:start w:val="single" w:sz="4" w:space="0" w:color="2E7D32"/>
              <w:bottom w:val="single" w:sz="4" w:space="0" w:color="2E7D32"/>
              <w:end w:val="single" w:sz="4" w:space="0" w:color="2E7D32"/>
            </w:tcBorders>
            <w:shd w:color="auto" w:fill="F1F8E9" w:val="clear"/>
            <w:vAlign w:val="center"/>
          </w:tcPr>
          <w:p>
            <w:pPr>
              <w:pStyle w:val="Normal"/>
              <w:widowControl/>
              <w:spacing w:lineRule="auto" w:line="240" w:before="80" w:after="80"/>
              <w:jc w:val="start"/>
              <w:rPr>
                <w:rFonts w:ascii="Cambria" w:hAnsi="Cambria" w:eastAsia="ＭＳ 明朝" w:cs=""/>
                <w:kern w:val="0"/>
                <w:sz w:val="22"/>
                <w:szCs w:val="22"/>
                <w:lang w:val="en-US" w:eastAsia="en-US" w:bidi="ar-SA"/>
              </w:rPr>
            </w:pPr>
            <w:r>
              <w:rPr>
                <w:rFonts w:eastAsia="ＭＳ 明朝" w:cs="" w:ascii="Calibri" w:hAnsi="Calibri"/>
                <w:color w:val="212121"/>
                <w:kern w:val="0"/>
                <w:sz w:val="21"/>
                <w:szCs w:val="22"/>
                <w:lang w:val="en-US" w:eastAsia="en-US" w:bidi="ar-SA"/>
              </w:rPr>
              <w:t>Web Application</w:t>
            </w:r>
          </w:p>
        </w:tc>
      </w:tr>
    </w:tbl>
    <w:p>
      <w:pPr>
        <w:pStyle w:val="Normal"/>
        <w:rPr/>
      </w:pPr>
      <w:r>
        <w:rPr/>
      </w:r>
    </w:p>
    <w:p>
      <w:pPr>
        <w:pStyle w:val="Normal"/>
        <w:rPr/>
      </w:pPr>
      <w:r>
        <w:rPr/>
      </w:r>
      <w:r>
        <w:br w:type="page"/>
      </w:r>
    </w:p>
    <w:p>
      <w:pPr>
        <w:pStyle w:val="Normal"/>
        <w:spacing w:before="0" w:after="0"/>
        <w:rPr/>
      </w:pPr>
      <w:r>
        <w:rPr>
          <w:color w:val="43A047"/>
          <w:sz w:val="14"/>
        </w:rPr>
        <w:t>────────────────────────────────────────────────────────────────────────</w:t>
      </w:r>
    </w:p>
    <w:p>
      <w:pPr>
        <w:pStyle w:val="Normal"/>
        <w:spacing w:before="40" w:after="80"/>
        <w:rPr/>
      </w:pPr>
      <w:r>
        <w:rPr>
          <w:rFonts w:ascii="Calibri" w:hAnsi="Calibri"/>
          <w:b/>
          <w:color w:val="2E7D32"/>
          <w:sz w:val="28"/>
        </w:rPr>
        <w:t xml:space="preserve">1.  </w:t>
      </w:r>
      <w:r>
        <w:rPr>
          <w:rFonts w:ascii="Calibri" w:hAnsi="Calibri"/>
          <w:b/>
          <w:color w:val="1B5E20"/>
          <w:sz w:val="28"/>
        </w:rPr>
        <w:t>PROJECT OVERVIEW</w:t>
      </w:r>
    </w:p>
    <w:p>
      <w:pPr>
        <w:pStyle w:val="Normal"/>
        <w:spacing w:lineRule="exact" w:line="280" w:before="0" w:after="120"/>
        <w:rPr/>
      </w:pPr>
      <w:r>
        <w:rPr>
          <w:rFonts w:ascii="Calibri" w:hAnsi="Calibri"/>
          <w:color w:val="212121"/>
        </w:rPr>
        <w:t>Cricklytics is a multi-page, data-driven cricket analytics web application built for the modern cricket fan, analyst, and enthusiast. Unlike conventional cricket websites that display isolated statistics, Cricklytics transforms historical match data into contextual, probability-based insights , answering questions such as "How likely is a batsman to score 50+ at this venue against this opposition?" or "Which team historically dominates in day-night Tests?"</w:t>
      </w:r>
    </w:p>
    <w:p>
      <w:pPr>
        <w:pStyle w:val="Normal"/>
        <w:spacing w:lineRule="exact" w:line="280"/>
        <w:rPr/>
      </w:pPr>
      <w:r>
        <w:rPr>
          <w:rFonts w:ascii="Calibri" w:hAnsi="Calibri"/>
          <w:color w:val="212121"/>
        </w:rPr>
        <w:t>The platform covers all major cricket formats (T20, ODI, Test) and provides dedicated sections for Players, Teams, Venues, Matches, Rankings, and Records. A built-in Machine Learning probability engine, trained offline on historical data using Logistic Regression, powers the insight layer  all presented with mandatory disclaimers to ensure users understand that results are statistical observations, not outcome predictions.</w:t>
      </w:r>
    </w:p>
    <w:p>
      <w:pPr>
        <w:pStyle w:val="Normal"/>
        <w:spacing w:before="280" w:after="0"/>
        <w:rPr/>
      </w:pPr>
      <w:r>
        <w:rPr>
          <w:color w:val="43A047"/>
          <w:sz w:val="14"/>
        </w:rPr>
        <w:t>────────────────────────────────────────────────────────────────────────</w:t>
      </w:r>
    </w:p>
    <w:p>
      <w:pPr>
        <w:pStyle w:val="Normal"/>
        <w:spacing w:before="40" w:after="80"/>
        <w:rPr/>
      </w:pPr>
      <w:r>
        <w:rPr>
          <w:rFonts w:ascii="Calibri" w:hAnsi="Calibri"/>
          <w:b/>
          <w:color w:val="2E7D32"/>
          <w:sz w:val="28"/>
        </w:rPr>
        <w:t xml:space="preserve">2.  </w:t>
      </w:r>
      <w:r>
        <w:rPr>
          <w:rFonts w:ascii="Calibri" w:hAnsi="Calibri"/>
          <w:b/>
          <w:color w:val="1B5E20"/>
          <w:sz w:val="28"/>
        </w:rPr>
        <w:t>PROBLEM STATEMENT</w:t>
      </w:r>
    </w:p>
    <w:p>
      <w:pPr>
        <w:pStyle w:val="Normal"/>
        <w:spacing w:lineRule="exact" w:line="280" w:before="0" w:after="120"/>
        <w:rPr/>
      </w:pPr>
      <w:r>
        <w:rPr>
          <w:rFonts w:ascii="Calibri" w:hAnsi="Calibri"/>
          <w:color w:val="212121"/>
        </w:rPr>
        <w:t>Cricket generates enormous volumes of data every season ball-by-ball logs, player statistics, venue histories, team head-to-head records, and more. Yet the tools available to the average fan or student analyst present this data in its rawest, most isolated form: career averages, total runs, and wicket tallies stripped of any context.</w:t>
      </w:r>
    </w:p>
    <w:p>
      <w:pPr>
        <w:pStyle w:val="Normal"/>
        <w:spacing w:lineRule="exact" w:line="280" w:before="0" w:after="120"/>
        <w:rPr/>
      </w:pPr>
      <w:r>
        <w:rPr>
          <w:rFonts w:ascii="Calibri" w:hAnsi="Calibri"/>
          <w:color w:val="212121"/>
        </w:rPr>
        <w:t>This creates a significant analytical gap. A batsman averaging 45 runs across all venues tells a very different story when his average at a specific venue against a specific pace attack drops to 18. Similarly, a team's overall win-rate obscures the reality that they have never won a day-night Test at a particular ground. Without contextual analysis, fans, coaches, and analysts cannot extract meaningful, decision-relevant insights from the available data.</w:t>
      </w:r>
    </w:p>
    <w:p>
      <w:pPr>
        <w:pStyle w:val="Normal"/>
        <w:spacing w:lineRule="exact" w:line="280"/>
        <w:rPr/>
      </w:pPr>
      <w:r>
        <w:rPr>
          <w:rFonts w:ascii="Calibri" w:hAnsi="Calibri"/>
          <w:color w:val="212121"/>
        </w:rPr>
        <w:t>No freely accessible, student-buildable platform currently bridges the gap between raw cricket data and contextual probabilistic analytics. Cricklytics is designed to fill precisely this void  making advanced, context-aware cricket intelligence accessible to everyone.</w:t>
      </w:r>
    </w:p>
    <w:p>
      <w:pPr>
        <w:pStyle w:val="Normal"/>
        <w:spacing w:before="280" w:after="0"/>
        <w:rPr/>
      </w:pPr>
      <w:r>
        <w:rPr>
          <w:color w:val="43A047"/>
          <w:sz w:val="14"/>
        </w:rPr>
        <w:t>────────────────────────────────────────────────────────────────────────</w:t>
      </w:r>
    </w:p>
    <w:p>
      <w:pPr>
        <w:pStyle w:val="Normal"/>
        <w:spacing w:before="40" w:after="80"/>
        <w:rPr/>
      </w:pPr>
      <w:r>
        <w:rPr>
          <w:rFonts w:ascii="Calibri" w:hAnsi="Calibri"/>
          <w:b/>
          <w:color w:val="2E7D32"/>
          <w:sz w:val="28"/>
        </w:rPr>
        <w:t xml:space="preserve">3.  </w:t>
      </w:r>
      <w:r>
        <w:rPr>
          <w:rFonts w:ascii="Calibri" w:hAnsi="Calibri"/>
          <w:b/>
          <w:color w:val="1B5E20"/>
          <w:sz w:val="28"/>
        </w:rPr>
        <w:t>PROBLEM SOLUTION</w:t>
      </w:r>
    </w:p>
    <w:p>
      <w:pPr>
        <w:pStyle w:val="Normal"/>
        <w:spacing w:lineRule="exact" w:line="280" w:before="0" w:after="120"/>
        <w:rPr/>
      </w:pPr>
      <w:r>
        <w:rPr>
          <w:rFonts w:ascii="Calibri" w:hAnsi="Calibri"/>
          <w:color w:val="212121"/>
        </w:rPr>
        <w:t>Cricklytics addresses the analytical gap by building a full-stack web platform that layers a probabilistic intelligence engine on top of cleaned, structured cricket data. The backend, developed in Python using Flask/FastAPI, exposes REST APIs that serve both raw statistics and model-generated probability scores. Data is fetched periodically from free cricket APIs, cleaned using Pandas and NumPy, feature-engineered, and cached locally as JSON/CSV files  eliminating dependence on real-time data streams during the MVP phase.</w:t>
      </w:r>
    </w:p>
    <w:p>
      <w:pPr>
        <w:pStyle w:val="Normal"/>
        <w:spacing w:lineRule="exact" w:line="280"/>
        <w:rPr/>
      </w:pPr>
      <w:r>
        <w:rPr>
          <w:rFonts w:ascii="Calibri" w:hAnsi="Calibri"/>
          <w:color w:val="212121"/>
        </w:rPr>
        <w:t>The Machine Learning layer uses Logistic Regression (scikit-learn) trained offline on historical records. Trained models are saved as .pkl files and loaded at runtime to generate probability scores such as the likelihood of a player crossing a run milestone or a team winning at a specific venue. Every probability output is clearly labelled with a disclaimer. The frontend is built with HTML, CSS, and Vanilla JavaScript across multiple dedicated pages  Home, Matches, Players, Teams, Venues, Rankings, Records, Compare, and Search  each with contextual tabs and detail views. The architecture is intentionally extensible so that future sports (football, hockey) can be added without redesigning the core platform.</w:t>
      </w:r>
    </w:p>
    <w:p>
      <w:pPr>
        <w:pStyle w:val="Normal"/>
        <w:spacing w:before="280" w:after="0"/>
        <w:rPr/>
      </w:pPr>
      <w:r>
        <w:rPr>
          <w:color w:val="43A047"/>
          <w:sz w:val="14"/>
        </w:rPr>
        <w:t>────────────────────────────────────────────────────────────────────────</w:t>
      </w:r>
    </w:p>
    <w:p>
      <w:pPr>
        <w:pStyle w:val="Normal"/>
        <w:spacing w:before="40" w:after="80"/>
        <w:rPr/>
      </w:pPr>
      <w:r>
        <w:rPr>
          <w:rFonts w:ascii="Calibri" w:hAnsi="Calibri"/>
          <w:b/>
          <w:color w:val="2E7D32"/>
          <w:sz w:val="28"/>
        </w:rPr>
        <w:t xml:space="preserve">4.  </w:t>
      </w:r>
      <w:r>
        <w:rPr>
          <w:rFonts w:ascii="Calibri" w:hAnsi="Calibri"/>
          <w:b/>
          <w:color w:val="1B5E20"/>
          <w:sz w:val="28"/>
        </w:rPr>
        <w:t>SCOPE</w:t>
      </w:r>
    </w:p>
    <w:p>
      <w:pPr>
        <w:pStyle w:val="Normal"/>
        <w:spacing w:lineRule="exact" w:line="280" w:before="0" w:after="60"/>
        <w:rPr/>
      </w:pPr>
      <w:r>
        <w:rPr>
          <w:rFonts w:ascii="Calibri" w:hAnsi="Calibri"/>
          <w:color w:val="1B5E20"/>
          <w:sz w:val="21"/>
        </w:rPr>
        <w:t>IN SCOPE:</w:t>
      </w:r>
    </w:p>
    <w:p>
      <w:pPr>
        <w:pStyle w:val="ListBullet"/>
        <w:numPr>
          <w:ilvl w:val="0"/>
          <w:numId w:val="1"/>
        </w:numPr>
        <w:spacing w:lineRule="exact" w:line="260" w:before="20" w:after="60"/>
        <w:ind w:hanging="360" w:start="432"/>
        <w:contextualSpacing/>
        <w:rPr/>
      </w:pPr>
      <w:r>
        <w:rPr>
          <w:rFonts w:ascii="Calibri" w:hAnsi="Calibri"/>
          <w:color w:val="212121"/>
        </w:rPr>
        <w:t>Multi-page web application covering Players, Teams, Venues, Matches, Rankings, Records, Compare, and Search.</w:t>
      </w:r>
    </w:p>
    <w:p>
      <w:pPr>
        <w:pStyle w:val="ListBullet"/>
        <w:numPr>
          <w:ilvl w:val="0"/>
          <w:numId w:val="1"/>
        </w:numPr>
        <w:spacing w:lineRule="exact" w:line="260" w:before="20" w:after="60"/>
        <w:ind w:hanging="360" w:start="432"/>
        <w:contextualSpacing/>
        <w:rPr/>
      </w:pPr>
      <w:r>
        <w:rPr>
          <w:rFonts w:ascii="Calibri" w:hAnsi="Calibri"/>
          <w:color w:val="212121"/>
        </w:rPr>
        <w:t>Support for all three major formats: T20 International, ODI, and Test cricket.</w:t>
      </w:r>
    </w:p>
    <w:p>
      <w:pPr>
        <w:pStyle w:val="ListBullet"/>
        <w:numPr>
          <w:ilvl w:val="0"/>
          <w:numId w:val="1"/>
        </w:numPr>
        <w:spacing w:lineRule="exact" w:line="260" w:before="20" w:after="60"/>
        <w:ind w:hanging="360" w:start="432"/>
        <w:contextualSpacing/>
        <w:rPr/>
      </w:pPr>
      <w:r>
        <w:rPr>
          <w:rFonts w:ascii="Calibri" w:hAnsi="Calibri"/>
          <w:color w:val="212121"/>
        </w:rPr>
        <w:t>Offline ML probability engine using Logistic Regression with .pkl model persistence.</w:t>
      </w:r>
    </w:p>
    <w:p>
      <w:pPr>
        <w:pStyle w:val="ListBullet"/>
        <w:numPr>
          <w:ilvl w:val="0"/>
          <w:numId w:val="1"/>
        </w:numPr>
        <w:spacing w:lineRule="exact" w:line="260" w:before="20" w:after="60"/>
        <w:ind w:hanging="360" w:start="432"/>
        <w:contextualSpacing/>
        <w:rPr/>
      </w:pPr>
      <w:r>
        <w:rPr>
          <w:rFonts w:ascii="Calibri" w:hAnsi="Calibri"/>
          <w:color w:val="212121"/>
        </w:rPr>
        <w:t>Data pipeline: periodic API fetch → Pandas cleaning → feature engineering → cached JSON/CSV.</w:t>
      </w:r>
    </w:p>
    <w:p>
      <w:pPr>
        <w:pStyle w:val="ListBullet"/>
        <w:numPr>
          <w:ilvl w:val="0"/>
          <w:numId w:val="1"/>
        </w:numPr>
        <w:spacing w:lineRule="exact" w:line="260" w:before="20" w:after="60"/>
        <w:ind w:hanging="360" w:start="432"/>
        <w:contextualSpacing/>
        <w:rPr/>
      </w:pPr>
      <w:r>
        <w:rPr>
          <w:rFonts w:ascii="Calibri" w:hAnsi="Calibri"/>
          <w:color w:val="212121"/>
        </w:rPr>
        <w:t>Player and Team comparison pages with side-by-side probability insights.</w:t>
      </w:r>
    </w:p>
    <w:p>
      <w:pPr>
        <w:pStyle w:val="ListBullet"/>
        <w:numPr>
          <w:ilvl w:val="0"/>
          <w:numId w:val="1"/>
        </w:numPr>
        <w:spacing w:lineRule="exact" w:line="260" w:before="20" w:after="60"/>
        <w:ind w:hanging="360" w:start="432"/>
        <w:contextualSpacing/>
        <w:rPr/>
      </w:pPr>
      <w:r>
        <w:rPr>
          <w:rFonts w:ascii="Calibri" w:hAnsi="Calibri"/>
          <w:color w:val="212121"/>
        </w:rPr>
        <w:t>Venue-level analytics including chasing vs defending bias and team/player success rates.</w:t>
      </w:r>
    </w:p>
    <w:p>
      <w:pPr>
        <w:pStyle w:val="ListBullet"/>
        <w:numPr>
          <w:ilvl w:val="0"/>
          <w:numId w:val="1"/>
        </w:numPr>
        <w:spacing w:lineRule="exact" w:line="260" w:before="20" w:after="60"/>
        <w:ind w:hanging="360" w:start="432"/>
        <w:contextualSpacing/>
        <w:rPr/>
      </w:pPr>
      <w:r>
        <w:rPr>
          <w:rFonts w:ascii="Calibri" w:hAnsi="Calibri"/>
          <w:color w:val="212121"/>
        </w:rPr>
        <w:t>ICC-style rankings display for teams, batsmen, bowlers, and all-rounders.</w:t>
      </w:r>
    </w:p>
    <w:p>
      <w:pPr>
        <w:pStyle w:val="ListBullet"/>
        <w:numPr>
          <w:ilvl w:val="0"/>
          <w:numId w:val="1"/>
        </w:numPr>
        <w:spacing w:lineRule="exact" w:line="260" w:before="20" w:after="60"/>
        <w:ind w:hanging="360" w:start="432"/>
        <w:contextualSpacing/>
        <w:rPr/>
      </w:pPr>
      <w:r>
        <w:rPr>
          <w:rFonts w:ascii="Calibri" w:hAnsi="Calibri"/>
          <w:color w:val="212121"/>
        </w:rPr>
        <w:t>Global search system returning categorised results for players, teams, venues, and matches.</w:t>
      </w:r>
    </w:p>
    <w:p>
      <w:pPr>
        <w:pStyle w:val="ListBullet"/>
        <w:numPr>
          <w:ilvl w:val="0"/>
          <w:numId w:val="1"/>
        </w:numPr>
        <w:spacing w:lineRule="exact" w:line="260" w:before="20" w:after="60"/>
        <w:ind w:hanging="360" w:start="432"/>
        <w:contextualSpacing/>
        <w:rPr/>
      </w:pPr>
      <w:r>
        <w:rPr>
          <w:rFonts w:ascii="Calibri" w:hAnsi="Calibri"/>
          <w:color w:val="212121"/>
        </w:rPr>
        <w:t>All probability outputs accompanied by mandatory statistical disclaimers.</w:t>
      </w:r>
    </w:p>
    <w:p>
      <w:pPr>
        <w:pStyle w:val="Normal"/>
        <w:rPr/>
      </w:pPr>
      <w:r>
        <w:rPr/>
      </w:r>
    </w:p>
    <w:p>
      <w:pPr>
        <w:pStyle w:val="Normal"/>
        <w:spacing w:lineRule="exact" w:line="280" w:before="0" w:after="60"/>
        <w:rPr/>
      </w:pPr>
      <w:r>
        <w:rPr>
          <w:rFonts w:ascii="Calibri" w:hAnsi="Calibri"/>
          <w:color w:val="B71C1C"/>
          <w:sz w:val="21"/>
        </w:rPr>
        <w:t>OUT OF SCOPE (MVP):</w:t>
      </w:r>
    </w:p>
    <w:p>
      <w:pPr>
        <w:pStyle w:val="ListBullet"/>
        <w:numPr>
          <w:ilvl w:val="0"/>
          <w:numId w:val="1"/>
        </w:numPr>
        <w:spacing w:lineRule="exact" w:line="260" w:before="20" w:after="60"/>
        <w:ind w:hanging="360" w:start="432"/>
        <w:contextualSpacing/>
        <w:rPr/>
      </w:pPr>
      <w:r>
        <w:rPr>
          <w:rFonts w:ascii="Calibri" w:hAnsi="Calibri"/>
          <w:color w:val="212121"/>
        </w:rPr>
        <w:t>Live ball-by-ball commentary or real-time data streaming.</w:t>
      </w:r>
    </w:p>
    <w:p>
      <w:pPr>
        <w:pStyle w:val="ListBullet"/>
        <w:numPr>
          <w:ilvl w:val="0"/>
          <w:numId w:val="1"/>
        </w:numPr>
        <w:spacing w:lineRule="exact" w:line="260" w:before="20" w:after="60"/>
        <w:ind w:hanging="360" w:start="432"/>
        <w:contextualSpacing/>
        <w:rPr/>
      </w:pPr>
      <w:r>
        <w:rPr>
          <w:rFonts w:ascii="Calibri" w:hAnsi="Calibri"/>
          <w:color w:val="212121"/>
        </w:rPr>
        <w:t>User authentication, login, or personalised accounts.</w:t>
      </w:r>
    </w:p>
    <w:p>
      <w:pPr>
        <w:pStyle w:val="ListBullet"/>
        <w:numPr>
          <w:ilvl w:val="0"/>
          <w:numId w:val="1"/>
        </w:numPr>
        <w:spacing w:lineRule="exact" w:line="260" w:before="20" w:after="60"/>
        <w:ind w:hanging="360" w:start="432"/>
        <w:contextualSpacing/>
        <w:rPr/>
      </w:pPr>
      <w:r>
        <w:rPr>
          <w:rFonts w:ascii="Calibri" w:hAnsi="Calibri"/>
          <w:color w:val="212121"/>
        </w:rPr>
        <w:t>Gambling, betting odds, or any outcome-prediction framing.</w:t>
      </w:r>
    </w:p>
    <w:p>
      <w:pPr>
        <w:pStyle w:val="ListBullet"/>
        <w:numPr>
          <w:ilvl w:val="0"/>
          <w:numId w:val="1"/>
        </w:numPr>
        <w:spacing w:lineRule="exact" w:line="260" w:before="20" w:after="60"/>
        <w:ind w:hanging="360" w:start="432"/>
        <w:contextualSpacing/>
        <w:rPr/>
      </w:pPr>
      <w:r>
        <w:rPr>
          <w:rFonts w:ascii="Calibri" w:hAnsi="Calibri"/>
          <w:color w:val="212121"/>
        </w:rPr>
        <w:t>SQL database (deferred to post-MVP; SQLite → PostgreSQL planned).</w:t>
      </w:r>
    </w:p>
    <w:p>
      <w:pPr>
        <w:pStyle w:val="ListBullet"/>
        <w:numPr>
          <w:ilvl w:val="0"/>
          <w:numId w:val="1"/>
        </w:numPr>
        <w:spacing w:lineRule="exact" w:line="260" w:before="20" w:after="60"/>
        <w:ind w:hanging="360" w:start="432"/>
        <w:contextualSpacing/>
        <w:rPr/>
      </w:pPr>
      <w:r>
        <w:rPr>
          <w:rFonts w:ascii="Calibri" w:hAnsi="Calibri"/>
          <w:color w:val="212121"/>
        </w:rPr>
        <w:t>Support for non-cricket sports (extensibility is architected but not implemented).</w:t>
      </w:r>
    </w:p>
    <w:p>
      <w:pPr>
        <w:pStyle w:val="ListBullet"/>
        <w:numPr>
          <w:ilvl w:val="0"/>
          <w:numId w:val="1"/>
        </w:numPr>
        <w:spacing w:lineRule="exact" w:line="260" w:before="20" w:after="60"/>
        <w:ind w:hanging="360" w:start="432"/>
        <w:contextualSpacing/>
        <w:rPr/>
      </w:pPr>
      <w:r>
        <w:rPr>
          <w:rFonts w:ascii="Calibri" w:hAnsi="Calibri"/>
          <w:color w:val="212121"/>
        </w:rPr>
        <w:t>Live model retraining or online learning pipelines.</w:t>
      </w:r>
    </w:p>
    <w:p>
      <w:pPr>
        <w:pStyle w:val="Normal"/>
        <w:rPr/>
      </w:pPr>
      <w:r>
        <w:rPr/>
      </w:r>
    </w:p>
    <w:p>
      <w:pPr>
        <w:pStyle w:val="Normal"/>
        <w:spacing w:before="280" w:after="0"/>
        <w:rPr/>
      </w:pPr>
      <w:r>
        <w:rPr>
          <w:color w:val="43A047"/>
          <w:sz w:val="14"/>
        </w:rPr>
        <w:t>────────────────────────────────────────────────────────────────────────</w:t>
      </w:r>
    </w:p>
    <w:p>
      <w:pPr>
        <w:pStyle w:val="Normal"/>
        <w:spacing w:before="40" w:after="80"/>
        <w:rPr/>
      </w:pPr>
      <w:r>
        <w:rPr>
          <w:rFonts w:ascii="Calibri" w:hAnsi="Calibri"/>
          <w:b/>
          <w:color w:val="2E7D32"/>
          <w:sz w:val="28"/>
        </w:rPr>
        <w:t xml:space="preserve">5.  </w:t>
      </w:r>
      <w:r>
        <w:rPr>
          <w:rFonts w:ascii="Calibri" w:hAnsi="Calibri"/>
          <w:b/>
          <w:color w:val="1B5E20"/>
          <w:sz w:val="28"/>
        </w:rPr>
        <w:t>BASIC FEATURES</w:t>
      </w:r>
    </w:p>
    <w:p>
      <w:pPr>
        <w:pStyle w:val="Normal"/>
        <w:spacing w:lineRule="exact" w:line="280" w:before="0" w:after="160"/>
        <w:rPr/>
      </w:pPr>
      <w:r>
        <w:rPr>
          <w:rFonts w:ascii="Calibri" w:hAnsi="Calibri"/>
          <w:color w:val="212121"/>
        </w:rPr>
        <w:t>The following ten core features define the Cricklytics MVP. Each feature is self-contained and maps to a specific section of the platform.</w:t>
      </w:r>
    </w:p>
    <w:p>
      <w:pPr>
        <w:pStyle w:val="Normal"/>
        <w:spacing w:before="120" w:after="40"/>
        <w:rPr/>
      </w:pPr>
      <w:r>
        <w:rPr>
          <w:rFonts w:ascii="Calibri" w:hAnsi="Calibri"/>
          <w:b/>
          <w:color w:val="1B5E20"/>
        </w:rPr>
        <w:t>1. Contextual Player Probability Insights</w:t>
      </w:r>
    </w:p>
    <w:p>
      <w:pPr>
        <w:pStyle w:val="Normal"/>
        <w:spacing w:lineRule="exact" w:line="280" w:before="0" w:after="160"/>
        <w:rPr/>
      </w:pPr>
      <w:r>
        <w:rPr>
          <w:rFonts w:ascii="Calibri" w:hAnsi="Calibri"/>
          <w:color w:val="212121"/>
        </w:rPr>
        <w:t>For any player, the platform calculates and displays the historical probability of crossing key milestones (e.g., 30+, 50+, 100+ runs or 2+ wickets) at a specific venue against a specific opponent. Probabilities are derived from Logistic Regression models trained on historical match data and are clearly labelled as statistical estimates, not predictions.</w:t>
      </w:r>
    </w:p>
    <w:p>
      <w:pPr>
        <w:pStyle w:val="Normal"/>
        <w:spacing w:before="120" w:after="40"/>
        <w:rPr/>
      </w:pPr>
      <w:r>
        <w:rPr>
          <w:rFonts w:ascii="Calibri" w:hAnsi="Calibri"/>
          <w:b/>
          <w:color w:val="1B5E20"/>
        </w:rPr>
        <w:t>2. Player Profile Pages</w:t>
      </w:r>
    </w:p>
    <w:p>
      <w:pPr>
        <w:pStyle w:val="Normal"/>
        <w:spacing w:lineRule="exact" w:line="280" w:before="0" w:after="160"/>
        <w:rPr/>
      </w:pPr>
      <w:r>
        <w:rPr>
          <w:rFonts w:ascii="Calibri" w:hAnsi="Calibri"/>
          <w:color w:val="212121"/>
        </w:rPr>
        <w:t>Each player has a dedicated multi-tab profile covering career statistics, format-wise breakdowns (T20 / ODI / Test), performance against specific teams, performance at specific venues, recent form trends, and ML-based probability insights  all in one unified view.</w:t>
      </w:r>
    </w:p>
    <w:p>
      <w:pPr>
        <w:pStyle w:val="Normal"/>
        <w:spacing w:before="120" w:after="40"/>
        <w:rPr/>
      </w:pPr>
      <w:r>
        <w:rPr>
          <w:rFonts w:ascii="Calibri" w:hAnsi="Calibri"/>
          <w:b/>
          <w:color w:val="1B5E20"/>
        </w:rPr>
        <w:t>3. Team Head-to-Head Analytics</w:t>
      </w:r>
    </w:p>
    <w:p>
      <w:pPr>
        <w:pStyle w:val="Normal"/>
        <w:spacing w:lineRule="exact" w:line="280" w:before="0" w:after="160"/>
        <w:rPr/>
      </w:pPr>
      <w:r>
        <w:rPr>
          <w:rFonts w:ascii="Calibri" w:hAnsi="Calibri"/>
          <w:color w:val="212121"/>
        </w:rPr>
        <w:t>The platform aggregates historical head-to-head records between any two international teams, broken down by format and venue. Win percentages, average scores, and venue-specific dominance patterns are displayed to give a complete picture of inter-team rivalry.</w:t>
      </w:r>
    </w:p>
    <w:p>
      <w:pPr>
        <w:pStyle w:val="Normal"/>
        <w:spacing w:before="120" w:after="40"/>
        <w:rPr/>
      </w:pPr>
      <w:r>
        <w:rPr>
          <w:rFonts w:ascii="Calibri" w:hAnsi="Calibri"/>
          <w:b/>
          <w:color w:val="1B5E20"/>
        </w:rPr>
        <w:t>4. Venue Intelligence Dashboard</w:t>
      </w:r>
    </w:p>
    <w:p>
      <w:pPr>
        <w:pStyle w:val="Normal"/>
        <w:spacing w:lineRule="exact" w:line="280" w:before="0" w:after="160"/>
        <w:rPr/>
      </w:pPr>
      <w:r>
        <w:rPr>
          <w:rFonts w:ascii="Calibri" w:hAnsi="Calibri"/>
          <w:color w:val="212121"/>
        </w:rPr>
        <w:t>Every venue profile reveals its hidden characteristics: average first-innings and second-innings scores, chasing vs defending win bias, which teams perform best at the ground, and which players have the highest probability of scoring or taking wickets there , turning a stadium into a data story.</w:t>
      </w:r>
    </w:p>
    <w:p>
      <w:pPr>
        <w:pStyle w:val="Normal"/>
        <w:spacing w:before="120" w:after="40"/>
        <w:rPr/>
      </w:pPr>
      <w:r>
        <w:rPr>
          <w:rFonts w:ascii="Calibri" w:hAnsi="Calibri"/>
          <w:b/>
          <w:color w:val="1B5E20"/>
        </w:rPr>
        <w:t>5. Player vs Player Comparison Tool</w:t>
      </w:r>
    </w:p>
    <w:p>
      <w:pPr>
        <w:pStyle w:val="Normal"/>
        <w:spacing w:lineRule="exact" w:line="280" w:before="0" w:after="160"/>
        <w:rPr/>
      </w:pPr>
      <w:r>
        <w:rPr>
          <w:rFonts w:ascii="Calibri" w:hAnsi="Calibri"/>
          <w:color w:val="212121"/>
        </w:rPr>
        <w:t>Users can select any two players and view a side-by-side comparison of their career statistics, format-wise averages, venue records, opposition records, and ML-generated probability scores. The tool highlights statistically significant differences to make comparisons meaningful rather than merely visual.</w:t>
      </w:r>
    </w:p>
    <w:p>
      <w:pPr>
        <w:pStyle w:val="Normal"/>
        <w:spacing w:before="120" w:after="40"/>
        <w:rPr/>
      </w:pPr>
      <w:r>
        <w:rPr>
          <w:rFonts w:ascii="Calibri" w:hAnsi="Calibri"/>
          <w:b/>
          <w:color w:val="1B5E20"/>
        </w:rPr>
        <w:t>6. Team vs Team Comparison Tool</w:t>
      </w:r>
    </w:p>
    <w:p>
      <w:pPr>
        <w:pStyle w:val="Normal"/>
        <w:spacing w:lineRule="exact" w:line="280" w:before="0" w:after="160"/>
        <w:rPr/>
      </w:pPr>
      <w:r>
        <w:rPr>
          <w:rFonts w:ascii="Calibri" w:hAnsi="Calibri"/>
          <w:color w:val="212121"/>
        </w:rPr>
        <w:t>A dedicated comparison page allows two teams to be placed side-by-side with their overall win ratios, head-to-head records, venue-specific performance, and probability-based insights. Filters allow narrowing comparisons by format or time period.</w:t>
      </w:r>
    </w:p>
    <w:p>
      <w:pPr>
        <w:pStyle w:val="Normal"/>
        <w:spacing w:before="120" w:after="40"/>
        <w:rPr/>
      </w:pPr>
      <w:r>
        <w:rPr>
          <w:rFonts w:ascii="Calibri" w:hAnsi="Calibri"/>
          <w:b/>
          <w:color w:val="1B5E20"/>
        </w:rPr>
        <w:t>7. Matches Section with Context Insights Tab</w:t>
      </w:r>
    </w:p>
    <w:p>
      <w:pPr>
        <w:pStyle w:val="Normal"/>
        <w:spacing w:lineRule="exact" w:line="280" w:before="0" w:after="160"/>
        <w:rPr/>
      </w:pPr>
      <w:r>
        <w:rPr>
          <w:rFonts w:ascii="Calibri" w:hAnsi="Calibri"/>
          <w:color w:val="212121"/>
        </w:rPr>
        <w:t>Each completed match has a detail page with three tabs: Overview (result summary), Scorecard (full innings breakdown), and Context Insights (data-driven observations such as whether the chasing team outperformed historical averages at that venue).</w:t>
      </w:r>
    </w:p>
    <w:p>
      <w:pPr>
        <w:pStyle w:val="Normal"/>
        <w:spacing w:before="120" w:after="40"/>
        <w:rPr/>
      </w:pPr>
      <w:r>
        <w:rPr>
          <w:rFonts w:ascii="Calibri" w:hAnsi="Calibri"/>
          <w:b/>
          <w:color w:val="1B5E20"/>
        </w:rPr>
        <w:t>8. Rankings Display</w:t>
      </w:r>
    </w:p>
    <w:p>
      <w:pPr>
        <w:pStyle w:val="Normal"/>
        <w:spacing w:lineRule="exact" w:line="280" w:before="0" w:after="160"/>
        <w:rPr/>
      </w:pPr>
      <w:r>
        <w:rPr>
          <w:rFonts w:ascii="Calibri" w:hAnsi="Calibri"/>
          <w:color w:val="212121"/>
        </w:rPr>
        <w:t>The platform aggregates and displays ICC-style rankings for teams and individual players across batting, bowling, and all-rounder categories, segmented by format. Rankings data is cached locally and refreshed periodically from public APIs.</w:t>
      </w:r>
    </w:p>
    <w:p>
      <w:pPr>
        <w:pStyle w:val="Normal"/>
        <w:spacing w:before="120" w:after="40"/>
        <w:rPr/>
      </w:pPr>
      <w:r>
        <w:rPr>
          <w:rFonts w:ascii="Calibri" w:hAnsi="Calibri"/>
          <w:b/>
          <w:color w:val="1B5E20"/>
        </w:rPr>
        <w:t>9. Records Section</w:t>
      </w:r>
    </w:p>
    <w:p>
      <w:pPr>
        <w:pStyle w:val="Normal"/>
        <w:spacing w:lineRule="exact" w:line="280" w:before="0" w:after="160"/>
        <w:rPr/>
      </w:pPr>
      <w:r>
        <w:rPr>
          <w:rFonts w:ascii="Calibri" w:hAnsi="Calibri"/>
          <w:color w:val="212121"/>
        </w:rPr>
        <w:t>Cricklytics maintains a curated records section covering highest individual scores, best bowling figures, team totals, venue-specific records, and tournament records. Records are filterable by format, team, player, and venue to enable quick discovery.</w:t>
      </w:r>
    </w:p>
    <w:p>
      <w:pPr>
        <w:pStyle w:val="Normal"/>
        <w:spacing w:before="120" w:after="40"/>
        <w:rPr/>
      </w:pPr>
      <w:r>
        <w:rPr>
          <w:rFonts w:ascii="Calibri" w:hAnsi="Calibri"/>
          <w:b/>
          <w:color w:val="1B5E20"/>
        </w:rPr>
        <w:t>10. Global Contextual Search</w:t>
      </w:r>
    </w:p>
    <w:p>
      <w:pPr>
        <w:pStyle w:val="Normal"/>
        <w:spacing w:lineRule="exact" w:line="280" w:before="0" w:after="160"/>
        <w:rPr/>
      </w:pPr>
      <w:r>
        <w:rPr>
          <w:rFonts w:ascii="Calibri" w:hAnsi="Calibri"/>
          <w:color w:val="212121"/>
        </w:rPr>
        <w:t>A persistent search bar in the header searches across all entities , players, teams, venues, and matches simultaneously. Results are returned on a categorised search page, allowing users to jump directly to any profile or match detail view from anywhere on the platform.</w:t>
      </w:r>
    </w:p>
    <w:p>
      <w:pPr>
        <w:pStyle w:val="Normal"/>
        <w:spacing w:before="280" w:after="0"/>
        <w:rPr/>
      </w:pPr>
      <w:r>
        <w:rPr>
          <w:color w:val="43A047"/>
          <w:sz w:val="14"/>
        </w:rPr>
        <w:t>────────────────────────────────────────────────────────────────────────</w:t>
      </w:r>
    </w:p>
    <w:p>
      <w:pPr>
        <w:pStyle w:val="Normal"/>
        <w:spacing w:before="40" w:after="80"/>
        <w:rPr/>
      </w:pPr>
      <w:r>
        <w:rPr>
          <w:rFonts w:ascii="Calibri" w:hAnsi="Calibri"/>
          <w:b/>
          <w:color w:val="2E7D32"/>
          <w:sz w:val="28"/>
        </w:rPr>
        <w:t xml:space="preserve">6.  </w:t>
      </w:r>
      <w:r>
        <w:rPr>
          <w:rFonts w:ascii="Calibri" w:hAnsi="Calibri"/>
          <w:b/>
          <w:color w:val="1B5E20"/>
          <w:sz w:val="28"/>
        </w:rPr>
        <w:t>PROJECT PLAN</w:t>
      </w:r>
    </w:p>
    <w:p>
      <w:pPr>
        <w:pStyle w:val="Normal"/>
        <w:spacing w:before="160" w:after="80"/>
        <w:rPr/>
      </w:pPr>
      <w:r>
        <w:rPr>
          <w:rFonts w:ascii="Calibri" w:hAnsi="Calibri"/>
          <w:b/>
          <w:color w:val="1B5E20"/>
          <w:sz w:val="24"/>
        </w:rPr>
        <w:t>6.1  Iteration Plan (Modular Breakdown)</w:t>
      </w:r>
    </w:p>
    <w:p>
      <w:pPr>
        <w:pStyle w:val="Normal"/>
        <w:spacing w:lineRule="exact" w:line="280" w:before="0" w:after="120"/>
        <w:rPr/>
      </w:pPr>
      <w:r>
        <w:rPr>
          <w:rFonts w:ascii="Calibri" w:hAnsi="Calibri"/>
          <w:color w:val="212121"/>
        </w:rPr>
        <w:t>The project is divided into three two-week iterations. Each iteration delivers a working, demonstrable product increment. The table below maps each module and its user stories to the corresponding iteration.</w:t>
      </w:r>
    </w:p>
    <w:tbl>
      <w:tblPr>
        <w:tblStyle w:val="TableGrid"/>
        <w:tblW w:w="91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13"/>
        <w:gridCol w:w="4385"/>
        <w:gridCol w:w="1407"/>
        <w:gridCol w:w="1207"/>
      </w:tblGrid>
      <w:tr>
        <w:trPr/>
        <w:tc>
          <w:tcPr>
            <w:tcW w:w="2113"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Module</w:t>
            </w:r>
          </w:p>
        </w:tc>
        <w:tc>
          <w:tcPr>
            <w:tcW w:w="4385"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User Stories / Deliverables</w:t>
            </w:r>
          </w:p>
        </w:tc>
        <w:tc>
          <w:tcPr>
            <w:tcW w:w="1407"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Iteration</w:t>
            </w:r>
          </w:p>
        </w:tc>
        <w:tc>
          <w:tcPr>
            <w:tcW w:w="1207"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Duration</w:t>
            </w:r>
          </w:p>
        </w:tc>
      </w:tr>
      <w:tr>
        <w:trPr/>
        <w:tc>
          <w:tcPr>
            <w:tcW w:w="2113" w:type="dxa"/>
            <w:tcBorders/>
            <w:shd w:color="auto" w:fill="E8F5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UI Shell &amp; Routing</w:t>
            </w:r>
          </w:p>
        </w:tc>
        <w:tc>
          <w:tcPr>
            <w:tcW w:w="4385" w:type="dxa"/>
            <w:tcBorders/>
            <w:shd w:color="auto" w:fill="E8F5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navigate between all pages via the global header.</w:t>
              <w:br/>
              <w:t>As a user I see a responsive Home page with Live, Upcoming, and Trending cards.</w:t>
            </w:r>
          </w:p>
        </w:tc>
        <w:tc>
          <w:tcPr>
            <w:tcW w:w="14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1B5E20"/>
                <w:kern w:val="0"/>
                <w:sz w:val="18"/>
                <w:szCs w:val="22"/>
                <w:lang w:val="en-US" w:eastAsia="en-US" w:bidi="ar-SA"/>
              </w:rPr>
              <w:t>Iteration 1</w:t>
            </w:r>
          </w:p>
        </w:tc>
        <w:tc>
          <w:tcPr>
            <w:tcW w:w="12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E8F5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Static Data Integration</w:t>
            </w:r>
          </w:p>
        </w:tc>
        <w:tc>
          <w:tcPr>
            <w:tcW w:w="4385" w:type="dxa"/>
            <w:tcBorders/>
            <w:shd w:color="auto" w:fill="E8F5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view a Matches listing page filtered by format and status.</w:t>
              <w:br/>
              <w:t>As a user I can browse Players, Teams, and Venues listing pages with search.</w:t>
            </w:r>
          </w:p>
        </w:tc>
        <w:tc>
          <w:tcPr>
            <w:tcW w:w="14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1B5E20"/>
                <w:kern w:val="0"/>
                <w:sz w:val="18"/>
                <w:szCs w:val="22"/>
                <w:lang w:val="en-US" w:eastAsia="en-US" w:bidi="ar-SA"/>
              </w:rPr>
              <w:t>Iteration 1</w:t>
            </w:r>
          </w:p>
        </w:tc>
        <w:tc>
          <w:tcPr>
            <w:tcW w:w="12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E8F5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Data Pipeline (Fetch &amp; Cache)</w:t>
            </w:r>
          </w:p>
        </w:tc>
        <w:tc>
          <w:tcPr>
            <w:tcW w:w="4385" w:type="dxa"/>
            <w:tcBorders/>
            <w:shd w:color="auto" w:fill="E8F5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developer the system fetches data from cricket APIs and caches it as JSON/CSV.</w:t>
              <w:br/>
              <w:t>As a developer cleaned datasets are available for feature engineering.</w:t>
            </w:r>
          </w:p>
        </w:tc>
        <w:tc>
          <w:tcPr>
            <w:tcW w:w="14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1B5E20"/>
                <w:kern w:val="0"/>
                <w:sz w:val="18"/>
                <w:szCs w:val="22"/>
                <w:lang w:val="en-US" w:eastAsia="en-US" w:bidi="ar-SA"/>
              </w:rPr>
              <w:t>Iteration 1</w:t>
            </w:r>
          </w:p>
        </w:tc>
        <w:tc>
          <w:tcPr>
            <w:tcW w:w="1207" w:type="dxa"/>
            <w:tcBorders/>
            <w:shd w:color="auto" w:fill="E8F5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Player Profile Pages</w:t>
            </w:r>
          </w:p>
        </w:tc>
        <w:tc>
          <w:tcPr>
            <w:tcW w:w="4385"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view a player's career stats, format-wise breakdown, opposition stats, and venue stats.</w:t>
              <w:br/>
              <w:t>As a user I see a Recent Form tab with trend visualisations.</w:t>
            </w:r>
          </w:p>
        </w:tc>
        <w:tc>
          <w:tcPr>
            <w:tcW w:w="14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2E7D32"/>
                <w:kern w:val="0"/>
                <w:sz w:val="18"/>
                <w:szCs w:val="22"/>
                <w:lang w:val="en-US" w:eastAsia="en-US" w:bidi="ar-SA"/>
              </w:rPr>
              <w:t>Iteration 2</w:t>
            </w:r>
          </w:p>
        </w:tc>
        <w:tc>
          <w:tcPr>
            <w:tcW w:w="12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Team Profile Pages</w:t>
            </w:r>
          </w:p>
        </w:tc>
        <w:tc>
          <w:tcPr>
            <w:tcW w:w="4385"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view a team's squad, head-to-head record, and venue performance.</w:t>
              <w:br/>
              <w:t>As a user I see win/loss ratio charts per format.</w:t>
            </w:r>
          </w:p>
        </w:tc>
        <w:tc>
          <w:tcPr>
            <w:tcW w:w="14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2E7D32"/>
                <w:kern w:val="0"/>
                <w:sz w:val="18"/>
                <w:szCs w:val="22"/>
                <w:lang w:val="en-US" w:eastAsia="en-US" w:bidi="ar-SA"/>
              </w:rPr>
              <w:t>Iteration 2</w:t>
            </w:r>
          </w:p>
        </w:tc>
        <w:tc>
          <w:tcPr>
            <w:tcW w:w="12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Venue Profile Pages</w:t>
            </w:r>
          </w:p>
        </w:tc>
        <w:tc>
          <w:tcPr>
            <w:tcW w:w="4385"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view a venue's average scores, team bias, and player success rates.</w:t>
              <w:br/>
              <w:t>As a user I see chasing vs defending win statistics.</w:t>
            </w:r>
          </w:p>
        </w:tc>
        <w:tc>
          <w:tcPr>
            <w:tcW w:w="14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2E7D32"/>
                <w:kern w:val="0"/>
                <w:sz w:val="18"/>
                <w:szCs w:val="22"/>
                <w:lang w:val="en-US" w:eastAsia="en-US" w:bidi="ar-SA"/>
              </w:rPr>
              <w:t>Iteration 2</w:t>
            </w:r>
          </w:p>
        </w:tc>
        <w:tc>
          <w:tcPr>
            <w:tcW w:w="12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ML Probability Engine</w:t>
            </w:r>
          </w:p>
        </w:tc>
        <w:tc>
          <w:tcPr>
            <w:tcW w:w="4385"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data scientist a Logistic Regression model is trained offline and saved as .pkl.</w:t>
              <w:br/>
              <w:t>As a user I see probability insights on Player and Venue profile pages with disclaimers.</w:t>
            </w:r>
          </w:p>
        </w:tc>
        <w:tc>
          <w:tcPr>
            <w:tcW w:w="14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2E7D32"/>
                <w:kern w:val="0"/>
                <w:sz w:val="18"/>
                <w:szCs w:val="22"/>
                <w:lang w:val="en-US" w:eastAsia="en-US" w:bidi="ar-SA"/>
              </w:rPr>
              <w:t>Iteration 2</w:t>
            </w:r>
          </w:p>
        </w:tc>
        <w:tc>
          <w:tcPr>
            <w:tcW w:w="12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Match Detail Pages</w:t>
            </w:r>
          </w:p>
        </w:tc>
        <w:tc>
          <w:tcPr>
            <w:tcW w:w="4385"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view a match scorecard with Overview, Scorecard, and Context Insights tabs.</w:t>
            </w:r>
          </w:p>
        </w:tc>
        <w:tc>
          <w:tcPr>
            <w:tcW w:w="14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2E7D32"/>
                <w:kern w:val="0"/>
                <w:sz w:val="18"/>
                <w:szCs w:val="22"/>
                <w:lang w:val="en-US" w:eastAsia="en-US" w:bidi="ar-SA"/>
              </w:rPr>
              <w:t>Iteration 2</w:t>
            </w:r>
          </w:p>
        </w:tc>
        <w:tc>
          <w:tcPr>
            <w:tcW w:w="1207"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9FBE7"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Player vs Player Comparison</w:t>
            </w:r>
          </w:p>
        </w:tc>
        <w:tc>
          <w:tcPr>
            <w:tcW w:w="4385" w:type="dxa"/>
            <w:tcBorders/>
            <w:shd w:color="auto" w:fill="F9FBE7"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select two players and view a side-by-side stats and probability comparison.</w:t>
            </w:r>
          </w:p>
        </w:tc>
        <w:tc>
          <w:tcPr>
            <w:tcW w:w="14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43A047"/>
                <w:kern w:val="0"/>
                <w:sz w:val="18"/>
                <w:szCs w:val="22"/>
                <w:lang w:val="en-US" w:eastAsia="en-US" w:bidi="ar-SA"/>
              </w:rPr>
              <w:t>Iteration 3</w:t>
            </w:r>
          </w:p>
        </w:tc>
        <w:tc>
          <w:tcPr>
            <w:tcW w:w="12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9FBE7"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Team vs Team Comparison</w:t>
            </w:r>
          </w:p>
        </w:tc>
        <w:tc>
          <w:tcPr>
            <w:tcW w:w="4385" w:type="dxa"/>
            <w:tcBorders/>
            <w:shd w:color="auto" w:fill="F9FBE7"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select two teams and compare head-to-head records and venue probabilities.</w:t>
            </w:r>
          </w:p>
        </w:tc>
        <w:tc>
          <w:tcPr>
            <w:tcW w:w="14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43A047"/>
                <w:kern w:val="0"/>
                <w:sz w:val="18"/>
                <w:szCs w:val="22"/>
                <w:lang w:val="en-US" w:eastAsia="en-US" w:bidi="ar-SA"/>
              </w:rPr>
              <w:t>Iteration 3</w:t>
            </w:r>
          </w:p>
        </w:tc>
        <w:tc>
          <w:tcPr>
            <w:tcW w:w="12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9FBE7"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Rankings &amp; Records Section</w:t>
            </w:r>
          </w:p>
        </w:tc>
        <w:tc>
          <w:tcPr>
            <w:tcW w:w="4385" w:type="dxa"/>
            <w:tcBorders/>
            <w:shd w:color="auto" w:fill="F9FBE7"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browse ICC-style team and player rankings by format.</w:t>
              <w:br/>
              <w:t>As a user I can explore player, team, venue, and tournament records with filters.</w:t>
            </w:r>
          </w:p>
        </w:tc>
        <w:tc>
          <w:tcPr>
            <w:tcW w:w="14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43A047"/>
                <w:kern w:val="0"/>
                <w:sz w:val="18"/>
                <w:szCs w:val="22"/>
                <w:lang w:val="en-US" w:eastAsia="en-US" w:bidi="ar-SA"/>
              </w:rPr>
              <w:t>Iteration 3</w:t>
            </w:r>
          </w:p>
        </w:tc>
        <w:tc>
          <w:tcPr>
            <w:tcW w:w="12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9FBE7"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Global Search System</w:t>
            </w:r>
          </w:p>
        </w:tc>
        <w:tc>
          <w:tcPr>
            <w:tcW w:w="4385" w:type="dxa"/>
            <w:tcBorders/>
            <w:shd w:color="auto" w:fill="F9FBE7"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user I can search for any player, team, venue, or match from any page.</w:t>
              <w:br/>
              <w:t>As a user search results are displayed in categorised sections.</w:t>
            </w:r>
          </w:p>
        </w:tc>
        <w:tc>
          <w:tcPr>
            <w:tcW w:w="14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43A047"/>
                <w:kern w:val="0"/>
                <w:sz w:val="18"/>
                <w:szCs w:val="22"/>
                <w:lang w:val="en-US" w:eastAsia="en-US" w:bidi="ar-SA"/>
              </w:rPr>
              <w:t>Iteration 3</w:t>
            </w:r>
          </w:p>
        </w:tc>
        <w:tc>
          <w:tcPr>
            <w:tcW w:w="12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r>
        <w:trPr/>
        <w:tc>
          <w:tcPr>
            <w:tcW w:w="2113" w:type="dxa"/>
            <w:tcBorders/>
            <w:shd w:color="auto" w:fill="F9FBE7"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19"/>
                <w:szCs w:val="22"/>
                <w:lang w:val="en-US" w:eastAsia="en-US" w:bidi="ar-SA"/>
              </w:rPr>
              <w:t>UI Polish &amp; Documentation</w:t>
            </w:r>
          </w:p>
        </w:tc>
        <w:tc>
          <w:tcPr>
            <w:tcW w:w="4385" w:type="dxa"/>
            <w:tcBorders/>
            <w:shd w:color="auto" w:fill="F9FBE7"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8"/>
                <w:szCs w:val="22"/>
                <w:lang w:val="en-US" w:eastAsia="en-US" w:bidi="ar-SA"/>
              </w:rPr>
              <w:t>As a stakeholder all pages are visually consistent and disclaimer-compliant.</w:t>
              <w:br/>
              <w:t>As a developer the project is documented with README and API reference.</w:t>
            </w:r>
          </w:p>
        </w:tc>
        <w:tc>
          <w:tcPr>
            <w:tcW w:w="14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43A047"/>
                <w:kern w:val="0"/>
                <w:sz w:val="18"/>
                <w:szCs w:val="22"/>
                <w:lang w:val="en-US" w:eastAsia="en-US" w:bidi="ar-SA"/>
              </w:rPr>
              <w:t>Iteration 3</w:t>
            </w:r>
          </w:p>
        </w:tc>
        <w:tc>
          <w:tcPr>
            <w:tcW w:w="1207" w:type="dxa"/>
            <w:tcBorders/>
            <w:shd w:color="auto" w:fill="F9FBE7"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8"/>
                <w:szCs w:val="22"/>
                <w:lang w:val="en-US" w:eastAsia="en-US" w:bidi="ar-SA"/>
              </w:rPr>
              <w:t>2 Weeks</w:t>
            </w:r>
          </w:p>
        </w:tc>
      </w:tr>
    </w:tbl>
    <w:p>
      <w:pPr>
        <w:pStyle w:val="Normal"/>
        <w:rPr/>
      </w:pPr>
      <w:r>
        <w:rPr/>
      </w:r>
    </w:p>
    <w:p>
      <w:pPr>
        <w:pStyle w:val="Normal"/>
        <w:spacing w:before="200" w:after="80"/>
        <w:rPr/>
      </w:pPr>
      <w:r>
        <w:rPr>
          <w:rFonts w:ascii="Calibri" w:hAnsi="Calibri"/>
          <w:b/>
          <w:color w:val="1B5E20"/>
          <w:sz w:val="24"/>
        </w:rPr>
        <w:t>6.2  Team Roles &amp; Responsibilities</w:t>
      </w:r>
    </w:p>
    <w:tbl>
      <w:tblPr>
        <w:tblStyle w:val="TableGrid"/>
        <w:tblW w:w="91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239"/>
        <w:gridCol w:w="1341"/>
        <w:gridCol w:w="1920"/>
        <w:gridCol w:w="3612"/>
      </w:tblGrid>
      <w:tr>
        <w:trPr/>
        <w:tc>
          <w:tcPr>
            <w:tcW w:w="2239"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Name</w:t>
            </w:r>
          </w:p>
        </w:tc>
        <w:tc>
          <w:tcPr>
            <w:tcW w:w="1341"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Roll Number</w:t>
            </w:r>
          </w:p>
        </w:tc>
        <w:tc>
          <w:tcPr>
            <w:tcW w:w="1920"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Role(s)</w:t>
            </w:r>
          </w:p>
        </w:tc>
        <w:tc>
          <w:tcPr>
            <w:tcW w:w="3612" w:type="dxa"/>
            <w:tcBorders/>
            <w:shd w:color="auto" w:fill="1B5E20" w:val="clear"/>
            <w:vAlign w:val="cente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Key Responsibilities</w:t>
            </w:r>
          </w:p>
        </w:tc>
      </w:tr>
      <w:tr>
        <w:trPr/>
        <w:tc>
          <w:tcPr>
            <w:tcW w:w="2239" w:type="dxa"/>
            <w:tcBorders/>
            <w:shd w:color="auto" w:fill="F1F8E9"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20"/>
                <w:szCs w:val="22"/>
                <w:lang w:val="en-US" w:eastAsia="en-US" w:bidi="ar-SA"/>
              </w:rPr>
              <w:t>Muhammad Ali Aamir</w:t>
            </w:r>
          </w:p>
        </w:tc>
        <w:tc>
          <w:tcPr>
            <w:tcW w:w="1341" w:type="dxa"/>
            <w:tcBorders/>
            <w:shd w:color="auto" w:fill="F1F8E9"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9"/>
                <w:szCs w:val="22"/>
                <w:lang w:val="en-US" w:eastAsia="en-US" w:bidi="ar-SA"/>
              </w:rPr>
              <w:t>24L-2558</w:t>
            </w:r>
          </w:p>
        </w:tc>
        <w:tc>
          <w:tcPr>
            <w:tcW w:w="1920" w:type="dxa"/>
            <w:tcBorders/>
            <w:shd w:color="auto" w:fill="F1F8E9" w:val="clear"/>
          </w:tcPr>
          <w:p>
            <w:pPr>
              <w:pStyle w:val="Normal"/>
              <w:widowControl/>
              <w:spacing w:lineRule="exact" w:line="260" w:before="60" w:after="60"/>
              <w:jc w:val="start"/>
              <w:rPr>
                <w:rFonts w:ascii="Calibri" w:hAnsi="Calibri"/>
                <w:b/>
                <w:color w:val="1B5E20"/>
                <w:sz w:val="19"/>
              </w:rPr>
            </w:pPr>
            <w:r>
              <w:rPr>
                <w:rFonts w:eastAsia="ＭＳ 明朝" w:cs="" w:ascii="Calibri" w:hAnsi="Calibri"/>
                <w:b/>
                <w:color w:val="1B5E20"/>
                <w:kern w:val="0"/>
                <w:sz w:val="19"/>
                <w:szCs w:val="22"/>
                <w:lang w:val="en-US" w:eastAsia="en-US" w:bidi="ar-SA"/>
              </w:rPr>
              <w:t xml:space="preserve">Backend &amp; Integration Developer </w:t>
              <w:br/>
              <w:t>ML Assistant (model integration)</w:t>
            </w:r>
          </w:p>
          <w:p>
            <w:pPr>
              <w:pStyle w:val="Normal"/>
              <w:widowControl/>
              <w:spacing w:lineRule="exact" w:line="260" w:before="60" w:after="60"/>
              <w:jc w:val="start"/>
              <w:rPr>
                <w:rFonts w:ascii="Calibri" w:hAnsi="Calibri"/>
                <w:b/>
                <w:color w:val="1B5E20"/>
                <w:sz w:val="19"/>
              </w:rPr>
            </w:pPr>
            <w:r>
              <w:rPr>
                <w:rFonts w:eastAsia="ＭＳ 明朝" w:cs="" w:ascii="Calibri" w:hAnsi="Calibri"/>
                <w:b/>
                <w:color w:val="1B5E20"/>
                <w:kern w:val="0"/>
                <w:sz w:val="19"/>
                <w:szCs w:val="22"/>
                <w:lang w:val="en-US" w:eastAsia="en-US" w:bidi="ar-SA"/>
              </w:rPr>
              <w:t>Data Preprocessing &amp; Feature Engineering</w:t>
            </w:r>
          </w:p>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612" w:type="dxa"/>
            <w:tcBorders/>
            <w:shd w:color="auto" w:fill="F1F8E9"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9"/>
                <w:szCs w:val="22"/>
                <w:lang w:val="en-US" w:eastAsia="en-US" w:bidi="ar-SA"/>
              </w:rPr>
              <w:t>Project coordination &amp; delivery management</w:t>
              <w:br/>
              <w:t>Backend API development (Flask/FastAPI)</w:t>
              <w:br/>
              <w:t>ML model training, evaluation &amp; .pkl management</w:t>
              <w:br/>
              <w:t>Data pipeline design &amp; feature engineering</w:t>
            </w:r>
          </w:p>
        </w:tc>
      </w:tr>
      <w:tr>
        <w:trPr/>
        <w:tc>
          <w:tcPr>
            <w:tcW w:w="2239" w:type="dxa"/>
            <w:tcBorders/>
            <w:shd w:color="auto" w:fill="FFFFFF"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color w:val="212121"/>
                <w:kern w:val="0"/>
                <w:sz w:val="20"/>
                <w:szCs w:val="22"/>
                <w:lang w:val="en-US" w:eastAsia="en-US" w:bidi="ar-SA"/>
              </w:rPr>
              <w:t>Muhammad Mahad Mahmood</w:t>
            </w:r>
          </w:p>
        </w:tc>
        <w:tc>
          <w:tcPr>
            <w:tcW w:w="1341" w:type="dxa"/>
            <w:tcBorders/>
            <w:shd w:color="auto" w:fill="FFFFFF" w:val="clear"/>
          </w:tcPr>
          <w:p>
            <w:pPr>
              <w:pStyle w:val="Normal"/>
              <w:widowControl/>
              <w:spacing w:lineRule="auto" w:line="240" w:before="60" w:after="60"/>
              <w:jc w:val="center"/>
              <w:rPr>
                <w:rFonts w:ascii="Cambria" w:hAnsi="Cambria" w:eastAsia="ＭＳ 明朝" w:cs=""/>
                <w:kern w:val="0"/>
                <w:sz w:val="22"/>
                <w:szCs w:val="22"/>
                <w:lang w:val="en-US" w:eastAsia="en-US" w:bidi="ar-SA"/>
              </w:rPr>
            </w:pPr>
            <w:r>
              <w:rPr>
                <w:rFonts w:eastAsia="ＭＳ 明朝" w:cs="" w:ascii="Calibri" w:hAnsi="Calibri"/>
                <w:color w:val="555555"/>
                <w:kern w:val="0"/>
                <w:sz w:val="19"/>
                <w:szCs w:val="22"/>
                <w:lang w:val="en-US" w:eastAsia="en-US" w:bidi="ar-SA"/>
              </w:rPr>
              <w:t>24L-2548</w:t>
            </w:r>
          </w:p>
        </w:tc>
        <w:tc>
          <w:tcPr>
            <w:tcW w:w="1920" w:type="dxa"/>
            <w:tcBorders/>
            <w:shd w:color="auto" w:fill="FFFFFF"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b/>
                <w:color w:val="1B5E20"/>
                <w:kern w:val="0"/>
                <w:sz w:val="19"/>
                <w:szCs w:val="22"/>
                <w:lang w:val="en-US" w:eastAsia="en-US" w:bidi="ar-SA"/>
              </w:rPr>
              <w:t>UI/Frontend Developer</w:t>
              <w:br/>
              <w:t>Data Pipeline Assistant</w:t>
              <w:br/>
              <w:t>Tester</w:t>
            </w:r>
          </w:p>
        </w:tc>
        <w:tc>
          <w:tcPr>
            <w:tcW w:w="3612" w:type="dxa"/>
            <w:tcBorders/>
            <w:shd w:color="auto" w:fill="FFFFFF" w:val="clear"/>
          </w:tcPr>
          <w:p>
            <w:pPr>
              <w:pStyle w:val="Normal"/>
              <w:widowControl/>
              <w:spacing w:lineRule="exact" w:line="260" w:before="60" w:after="60"/>
              <w:jc w:val="start"/>
              <w:rPr>
                <w:rFonts w:ascii="Cambria" w:hAnsi="Cambria" w:eastAsia="ＭＳ 明朝" w:cs=""/>
                <w:kern w:val="0"/>
                <w:sz w:val="22"/>
                <w:szCs w:val="22"/>
                <w:lang w:val="en-US" w:eastAsia="en-US" w:bidi="ar-SA"/>
              </w:rPr>
            </w:pPr>
            <w:r>
              <w:rPr>
                <w:rFonts w:eastAsia="ＭＳ 明朝" w:cs="" w:ascii="Calibri" w:hAnsi="Calibri"/>
                <w:color w:val="212121"/>
                <w:kern w:val="0"/>
                <w:sz w:val="19"/>
                <w:szCs w:val="22"/>
                <w:lang w:val="en-US" w:eastAsia="en-US" w:bidi="ar-SA"/>
              </w:rPr>
              <w:t>Frontend UI across all pages (HTML / CSS / JS)</w:t>
              <w:br/>
              <w:t>API data fetching &amp; JSON/CSV caching pipeline</w:t>
              <w:br/>
              <w:t>Functional &amp; integration testing</w:t>
              <w:br/>
              <w:t>UI consistency &amp; disclaimer compliance</w:t>
            </w:r>
          </w:p>
        </w:tc>
      </w:tr>
    </w:tbl>
    <w:p>
      <w:pPr>
        <w:pStyle w:val="Normal"/>
        <w:rPr/>
      </w:pPr>
      <w:r>
        <w:rPr/>
      </w:r>
    </w:p>
    <w:p>
      <w:pPr>
        <w:pStyle w:val="Normal"/>
        <w:spacing w:before="320" w:after="40"/>
        <w:rPr/>
      </w:pPr>
      <w:r>
        <w:rPr>
          <w:rFonts w:ascii="Calibri" w:hAnsi="Calibri"/>
          <w:color w:val="43A047"/>
          <w:sz w:val="14"/>
        </w:rPr>
        <w:t>────────────────────────────────────────────────────────────────────────</w:t>
      </w:r>
    </w:p>
    <w:p>
      <w:pPr>
        <w:pStyle w:val="Normal"/>
        <w:spacing w:before="0" w:after="40"/>
        <w:jc w:val="center"/>
        <w:rPr/>
      </w:pPr>
      <w:r>
        <w:rPr>
          <w:rFonts w:ascii="Calibri" w:hAnsi="Calibri"/>
          <w:i/>
          <w:color w:val="555555"/>
          <w:sz w:val="17"/>
        </w:rPr>
        <w:t xml:space="preserve">⚠  </w:t>
      </w:r>
      <w:r>
        <w:rPr>
          <w:rFonts w:ascii="Calibri" w:hAnsi="Calibri"/>
          <w:i/>
          <w:color w:val="555555"/>
          <w:sz w:val="17"/>
        </w:rPr>
        <w:t>Disclaimer: All probability insights generated by Cricklytics are based on historical data and statistical models. Actual outcomes may vary. Cricklytics is an analytics platform, not a prediction or gambling service.</w:t>
      </w:r>
    </w:p>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ambri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LibreOffice/26.2.2.2$Windows_X86_64 LibreOffice_project/1f77d10d6938fd34972958f64b2bcfa54f8b1ba5</Application>
  <AppVersion>15.0000</AppVersion>
  <Pages>6</Pages>
  <Words>1705</Words>
  <Characters>10372</Characters>
  <CharactersWithSpaces>11942</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2026-03-05T14:08:00Z</dcterms:created>
  <dc:creator>python-docx</dc:creator>
  <dc:description>generated by python-docx</dc:description>
  <dc:language>en-US</dc:language>
  <cp:lastModifiedBy/>
  <dcterms:modified xsi:type="dcterms:W3CDTF">2026-05-03T22:59:23Z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