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0" w:line="600" w:lineRule="atLeast"/>
      </w:pPr>
      <w:r>
        <w:rPr>
          <w:rFonts w:ascii="Georgia" w:cs="Georgia" w:eastAsia="Georgia" w:hAnsi="Georgia"/>
          <w:b/>
          <w:bCs/>
          <w:color w:val="2A2321"/>
          <w:sz w:val="60"/>
          <w:szCs w:val="60"/>
        </w:rPr>
        <w:t xml:space="preserve">Frontier AI Observatory</w:t>
      </w:r>
    </w:p>
    <w:p>
      <w:pPr>
        <w:keepNext/>
        <w:spacing w:after="200" w:before="0"/>
      </w:pPr>
      <w:r>
        <w:rPr>
          <w:rFonts w:ascii="Trebuchet MS" w:cs="Trebuchet MS" w:eastAsia="Trebuchet MS" w:hAnsi="Trebuchet MS"/>
          <w:caps/>
          <w:color w:val="8A3A32"/>
          <w:spacing w:val="60"/>
          <w:sz w:val="20"/>
          <w:szCs w:val="20"/>
        </w:rPr>
        <w:t xml:space="preserve">Project proposal</w:t>
      </w:r>
    </w:p>
    <w:p>
      <w:pPr>
        <w:keepNext/>
        <w:spacing w:after="100" w:before="0" w:line="300" w:lineRule="auto"/>
      </w:pPr>
      <w:r>
        <w:rPr>
          <w:rFonts w:ascii="Trebuchet MS" w:cs="Trebuchet MS" w:eastAsia="Trebuchet MS" w:hAnsi="Trebuchet MS"/>
          <w:color w:val="3E4540"/>
          <w:sz w:val="19"/>
          <w:szCs w:val="19"/>
        </w:rPr>
        <w:t xml:space="preserve">Muhammad Ali Aamir (24L-2558)</w:t>
      </w:r>
      <w:r>
        <w:br/>
      </w:r>
      <w:r>
        <w:rPr>
          <w:rFonts w:ascii="Trebuchet MS" w:cs="Trebuchet MS" w:eastAsia="Trebuchet MS" w:hAnsi="Trebuchet MS"/>
          <w:color w:val="3E4540"/>
          <w:sz w:val="19"/>
          <w:szCs w:val="19"/>
        </w:rPr>
        <w:t xml:space="preserve">Muhammad Zohaib (24L-2530)</w:t>
      </w:r>
    </w:p>
    <w:p>
      <w:pPr>
        <w:pBdr>
          <w:bottom w:val="single" w:color="B5593A" w:sz="8" w:space="14"/>
        </w:pBdr>
        <w:spacing w:after="120" w:before="0"/>
        <w:ind w:left="0"/>
      </w:pPr>
      <w:hyperlink w:history="1" r:id="rIdlwzymzsy0_rx9_xvnnxwr">
        <w:r>
          <w:rPr>
            <w:rFonts w:ascii="Trebuchet MS" w:cs="Trebuchet MS" w:eastAsia="Trebuchet MS" w:hAnsi="Trebuchet MS"/>
            <w:color w:val="8A3A32"/>
            <w:sz w:val="19"/>
            <w:szCs w:val="19"/>
            <w:u w:val="single" w:color="D9B8AE"/>
          </w:rPr>
          <w:t xml:space="preserve">Frontier AI Observability on GitHub</w:t>
        </w:r>
      </w:hyperlink>
    </w:p>
    <w:p>
      <w:pPr>
        <w:pStyle w:val="Heading2"/>
        <w:keepNext/>
        <w:keepLines/>
        <w:spacing w:after="100" w:before="300"/>
      </w:pPr>
      <w:r>
        <w:rPr>
          <w:rFonts w:ascii="Georgia" w:cs="Georgia" w:eastAsia="Georgia" w:hAnsi="Georgia"/>
          <w:b/>
          <w:bCs/>
          <w:color w:val="744354"/>
          <w:sz w:val="24"/>
          <w:szCs w:val="24"/>
        </w:rPr>
        <w:t xml:space="preserve">Project overview</w:t>
      </w:r>
    </w:p>
    <w:p>
      <w:pPr>
        <w:widowControl/>
        <w:spacing w:after="150" w:before="0" w:line="336" w:lineRule="auto"/>
      </w:pPr>
      <w:r>
        <w:rPr>
          <w:rFonts w:ascii="Georgia" w:cs="Georgia" w:eastAsia="Georgia" w:hAnsi="Georgia"/>
          <w:color w:val="2E2926"/>
          <w:sz w:val="20"/>
          <w:szCs w:val="20"/>
        </w:rPr>
        <w:t xml:space="preserve">We propose an automated platform for examining published AI model evaluations, model releases, and API pricing. Apache Spark will bring the source records into a Medallion lakehouse, and a business intelligence dashboard will make the resulting comparisons accessible to researchers and developers.</w:t>
      </w:r>
    </w:p>
    <w:p>
      <w:pPr>
        <w:widowControl/>
        <w:spacing w:after="150" w:before="0" w:line="336" w:lineRule="auto"/>
      </w:pPr>
      <w:r>
        <w:rPr>
          <w:rFonts w:ascii="Georgia" w:cs="Georgia" w:eastAsia="Georgia" w:hAnsi="Georgia"/>
          <w:color w:val="2E2926"/>
          <w:sz w:val="20"/>
          <w:szCs w:val="20"/>
        </w:rPr>
        <w:t xml:space="preserve">Choosing an AI model requires checking sources that use different names, units, and evaluation methods. A high score may describe only one task, while a low token price may say little about an agent’s reliability or execution time. The Observatory will organize this evidence around model configurations and organizations, with a clear distinction between measured results and estimated costs.</w:t>
      </w:r>
    </w:p>
    <w:p>
      <w:pPr>
        <w:widowControl/>
        <w:spacing w:after="150" w:before="0" w:line="336" w:lineRule="auto"/>
      </w:pPr>
      <w:r>
        <w:rPr>
          <w:rFonts w:ascii="Georgia" w:cs="Georgia" w:eastAsia="Georgia" w:hAnsi="Georgia"/>
          <w:color w:val="2E2926"/>
          <w:sz w:val="20"/>
          <w:szCs w:val="20"/>
        </w:rPr>
        <w:t xml:space="preserve">The initial scope combines Arena evaluation histories with a published CooperBench study of coding-agent coordination. BenchLM supplies benchmark and pricing context, while Epoch AI provides model release metadata. The project will analyze existing public evidence without paid inference or benchmark execution.</w:t>
      </w:r>
    </w:p>
    <w:p>
      <w:pPr>
        <w:pStyle w:val="Heading2"/>
        <w:keepNext/>
        <w:keepLines/>
        <w:spacing w:after="100" w:before="300"/>
      </w:pPr>
      <w:r>
        <w:rPr>
          <w:rFonts w:ascii="Georgia" w:cs="Georgia" w:eastAsia="Georgia" w:hAnsi="Georgia"/>
          <w:b/>
          <w:bCs/>
          <w:color w:val="744354"/>
          <w:sz w:val="24"/>
          <w:szCs w:val="24"/>
        </w:rPr>
        <w:t xml:space="preserve">Research and practical value</w:t>
      </w:r>
    </w:p>
    <w:p>
      <w:pPr>
        <w:widowControl/>
        <w:spacing w:after="150" w:before="0" w:line="336" w:lineRule="auto"/>
      </w:pPr>
      <w:r>
        <w:rPr>
          <w:rFonts w:ascii="Georgia" w:cs="Georgia" w:eastAsia="Georgia" w:hAnsi="Georgia"/>
          <w:color w:val="2E2926"/>
          <w:sz w:val="20"/>
          <w:szCs w:val="20"/>
        </w:rPr>
        <w:t xml:space="preserve">The research will examine changes in published capability, sensitivity to evaluation style, and the relationship between agent coordination, task success, and duration. The dashboard will help developers compare eligible models under explicit workload assumptions. Every comparison will retain its source and measurement context so readers can judge the evidence for themselves.</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1</w:t>
      </w:r>
      <w:r>
        <w:rPr>
          <w:rFonts w:ascii="Georgia" w:cs="Georgia" w:eastAsia="Georgia" w:hAnsi="Georgia"/>
          <w:b/>
          <w:bCs/>
          <w:color w:val="2A2321"/>
          <w:sz w:val="34"/>
          <w:szCs w:val="34"/>
        </w:rPr>
        <w:t xml:space="preserve"> Domain and source identification</w:t>
      </w:r>
    </w:p>
    <w:p>
      <w:pPr>
        <w:widowControl/>
        <w:spacing w:after="150" w:before="0" w:line="336" w:lineRule="auto"/>
      </w:pPr>
      <w:r>
        <w:rPr>
          <w:rFonts w:ascii="Georgia" w:cs="Georgia" w:eastAsia="Georgia" w:hAnsi="Georgia"/>
          <w:color w:val="2E2926"/>
          <w:sz w:val="20"/>
          <w:szCs w:val="20"/>
        </w:rPr>
        <w:t xml:space="preserve">The domain is AI model evaluation and cost analytics. Four complementary sources will supply historical observations, subsequent publications, task-level outcomes, and model metadata. The links below identify the exact datasets and exports selected for ingestion.</w:t>
      </w:r>
    </w:p>
    <w:p>
      <w:pPr>
        <w:pStyle w:val="Heading2"/>
        <w:keepNext/>
        <w:keepLines/>
        <w:spacing w:after="100" w:before="300"/>
      </w:pPr>
      <w:r>
        <w:rPr>
          <w:rFonts w:ascii="Georgia" w:cs="Georgia" w:eastAsia="Georgia" w:hAnsi="Georgia"/>
          <w:b/>
          <w:bCs/>
          <w:color w:val="744354"/>
          <w:sz w:val="24"/>
          <w:szCs w:val="24"/>
        </w:rPr>
        <w:t xml:space="preserve">Arena evaluation data</w:t>
      </w:r>
    </w:p>
    <w:p>
      <w:pPr>
        <w:spacing w:after="220" w:before="0"/>
        <w:ind w:left="200"/>
      </w:pPr>
      <w:hyperlink w:history="1" r:id="rIddcb1jiztgpwfj6efcirqy">
        <w:r>
          <w:rPr>
            <w:rFonts w:ascii="Trebuchet MS" w:cs="Trebuchet MS" w:eastAsia="Trebuchet MS" w:hAnsi="Trebuchet MS"/>
            <w:color w:val="8A3A32"/>
            <w:sz w:val="18"/>
            <w:szCs w:val="18"/>
            <w:u w:val="single" w:color="D9B8AE"/>
          </w:rPr>
          <w:t xml:space="preserve">Arena leaderboard dataset</w:t>
        </w:r>
      </w:hyperlink>
    </w:p>
    <w:p>
      <w:pPr>
        <w:widowControl/>
        <w:spacing w:after="150" w:before="0" w:line="336" w:lineRule="auto"/>
      </w:pPr>
      <w:r>
        <w:rPr>
          <w:rFonts w:ascii="Georgia" w:cs="Georgia" w:eastAsia="Georgia" w:hAnsi="Georgia"/>
          <w:color w:val="2E2926"/>
          <w:sz w:val="20"/>
          <w:szCs w:val="20"/>
        </w:rPr>
        <w:t xml:space="preserve">The full load will ingest standard text, style-controlled text, web development, and agent evaluation histories. These subsets support capability trends and comparison of ranking sensitivity to style. Standard and style-controlled results will remain separate because they describe related evaluation evidence.</w:t>
      </w:r>
    </w:p>
    <w:p>
      <w:pPr>
        <w:spacing w:after="50" w:before="0"/>
        <w:ind w:left="200"/>
      </w:pPr>
      <w:hyperlink w:history="1" r:id="rIdjlwyjfs3yh2rdfj_6c0uk">
        <w:r>
          <w:rPr>
            <w:rFonts w:ascii="Trebuchet MS" w:cs="Trebuchet MS" w:eastAsia="Trebuchet MS" w:hAnsi="Trebuchet MS"/>
            <w:color w:val="8A3A32"/>
            <w:sz w:val="18"/>
            <w:szCs w:val="18"/>
            <w:u w:val="single" w:color="D9B8AE"/>
          </w:rPr>
          <w:t xml:space="preserve">Standard text full load</w:t>
        </w:r>
      </w:hyperlink>
    </w:p>
    <w:p>
      <w:pPr>
        <w:spacing w:after="50" w:before="0"/>
        <w:ind w:left="200"/>
      </w:pPr>
      <w:hyperlink w:history="1" r:id="rIdn-yy4m5trlcvhfb8caahs">
        <w:r>
          <w:rPr>
            <w:rFonts w:ascii="Trebuchet MS" w:cs="Trebuchet MS" w:eastAsia="Trebuchet MS" w:hAnsi="Trebuchet MS"/>
            <w:color w:val="8A3A32"/>
            <w:sz w:val="18"/>
            <w:szCs w:val="18"/>
            <w:u w:val="single" w:color="D9B8AE"/>
          </w:rPr>
          <w:t xml:space="preserve">Style-controlled text full load</w:t>
        </w:r>
      </w:hyperlink>
    </w:p>
    <w:p>
      <w:pPr>
        <w:spacing w:after="50" w:before="0"/>
        <w:ind w:left="200"/>
      </w:pPr>
      <w:hyperlink w:history="1" r:id="rIdo1io0wyvrxvuqhawnwhkq">
        <w:r>
          <w:rPr>
            <w:rFonts w:ascii="Trebuchet MS" w:cs="Trebuchet MS" w:eastAsia="Trebuchet MS" w:hAnsi="Trebuchet MS"/>
            <w:color w:val="8A3A32"/>
            <w:sz w:val="18"/>
            <w:szCs w:val="18"/>
            <w:u w:val="single" w:color="D9B8AE"/>
          </w:rPr>
          <w:t xml:space="preserve">Web development full load</w:t>
        </w:r>
      </w:hyperlink>
    </w:p>
    <w:p>
      <w:pPr>
        <w:spacing w:after="220" w:before="0"/>
        <w:ind w:left="200"/>
      </w:pPr>
      <w:hyperlink w:history="1" r:id="rId0kgywyv3w4v7euphsnsvo">
        <w:r>
          <w:rPr>
            <w:rFonts w:ascii="Trebuchet MS" w:cs="Trebuchet MS" w:eastAsia="Trebuchet MS" w:hAnsi="Trebuchet MS"/>
            <w:color w:val="8A3A32"/>
            <w:sz w:val="18"/>
            <w:szCs w:val="18"/>
            <w:u w:val="single" w:color="D9B8AE"/>
          </w:rPr>
          <w:t xml:space="preserve">Agent evaluation full load</w:t>
        </w:r>
      </w:hyperlink>
    </w:p>
    <w:p>
      <w:pPr>
        <w:widowControl/>
        <w:spacing w:after="150" w:before="0" w:line="336" w:lineRule="auto"/>
      </w:pPr>
      <w:r>
        <w:rPr>
          <w:rFonts w:ascii="Georgia" w:cs="Georgia" w:eastAsia="Georgia" w:hAnsi="Georgia"/>
          <w:color w:val="2E2926"/>
          <w:sz w:val="20"/>
          <w:szCs w:val="20"/>
        </w:rPr>
        <w:t xml:space="preserve">Incremental collection will check source revisions daily and acquire changed latest Parquet files. A weekly reconciliation with full histories will identify missed publications and older corrections. Original Parquet payloads will remain intact. Arena labels the dataset CC BY 4.0.</w:t>
      </w:r>
    </w:p>
    <w:p>
      <w:pPr>
        <w:pStyle w:val="Heading2"/>
        <w:keepNext/>
        <w:keepLines/>
        <w:spacing w:after="100" w:before="300"/>
      </w:pPr>
      <w:r>
        <w:rPr>
          <w:rFonts w:ascii="Georgia" w:cs="Georgia" w:eastAsia="Georgia" w:hAnsi="Georgia"/>
          <w:b/>
          <w:bCs/>
          <w:color w:val="744354"/>
          <w:sz w:val="24"/>
          <w:szCs w:val="24"/>
        </w:rPr>
        <w:t xml:space="preserve">CooperBench agent coordination study</w:t>
      </w:r>
    </w:p>
    <w:p>
      <w:pPr>
        <w:spacing w:after="220" w:before="0"/>
        <w:ind w:left="200"/>
      </w:pPr>
      <w:hyperlink w:history="1" r:id="rIdmnacwuhh4uegdfs1nxove">
        <w:r>
          <w:rPr>
            <w:rFonts w:ascii="Trebuchet MS" w:cs="Trebuchet MS" w:eastAsia="Trebuchet MS" w:hAnsi="Trebuchet MS"/>
            <w:color w:val="8A3A32"/>
            <w:sz w:val="18"/>
            <w:szCs w:val="18"/>
            <w:u w:val="single" w:color="D9B8AE"/>
          </w:rPr>
          <w:t xml:space="preserve">CooperBench original study archives</w:t>
        </w:r>
      </w:hyperlink>
    </w:p>
    <w:p>
      <w:pPr>
        <w:widowControl/>
        <w:spacing w:after="150" w:before="0" w:line="336" w:lineRule="auto"/>
      </w:pPr>
      <w:r>
        <w:rPr>
          <w:rFonts w:ascii="Georgia" w:cs="Georgia" w:eastAsia="Georgia" w:hAnsi="Georgia"/>
          <w:color w:val="2E2926"/>
          <w:sz w:val="20"/>
          <w:szCs w:val="20"/>
        </w:rPr>
        <w:t xml:space="preserve">The full load will acquire four complete study settings: a single agent, cooperation through shared Git, a full team harness, and a team harness without protocol verbs. The study is intended to cover 652 task pairs per setting. Results, evaluations, and traces make it possible to compare task completion, duration, and merge outcomes within one study.</w:t>
      </w:r>
    </w:p>
    <w:p>
      <w:pPr>
        <w:spacing w:after="50" w:before="0"/>
        <w:ind w:left="200"/>
      </w:pPr>
      <w:hyperlink w:history="1" r:id="rIdecht6dso818cuvrf5ujfu">
        <w:r>
          <w:rPr>
            <w:rFonts w:ascii="Trebuchet MS" w:cs="Trebuchet MS" w:eastAsia="Trebuchet MS" w:hAnsi="Trebuchet MS"/>
            <w:color w:val="8A3A32"/>
            <w:sz w:val="18"/>
            <w:szCs w:val="18"/>
            <w:u w:val="single" w:color="D9B8AE"/>
          </w:rPr>
          <w:t xml:space="preserve">Single agent archive</w:t>
        </w:r>
      </w:hyperlink>
    </w:p>
    <w:p>
      <w:pPr>
        <w:spacing w:after="50" w:before="0"/>
        <w:ind w:left="200"/>
      </w:pPr>
      <w:hyperlink w:history="1" r:id="rIdjtbf_ugkwuluiuwbofjod">
        <w:r>
          <w:rPr>
            <w:rFonts w:ascii="Trebuchet MS" w:cs="Trebuchet MS" w:eastAsia="Trebuchet MS" w:hAnsi="Trebuchet MS"/>
            <w:color w:val="8A3A32"/>
            <w:sz w:val="18"/>
            <w:szCs w:val="18"/>
            <w:u w:val="single" w:color="D9B8AE"/>
          </w:rPr>
          <w:t xml:space="preserve">Shared Git cooperation archive</w:t>
        </w:r>
      </w:hyperlink>
    </w:p>
    <w:p>
      <w:pPr>
        <w:spacing w:after="50" w:before="0"/>
        <w:ind w:left="200"/>
      </w:pPr>
      <w:hyperlink w:history="1" r:id="rIdy5e-9_b5aimdsqz_i7rnh">
        <w:r>
          <w:rPr>
            <w:rFonts w:ascii="Trebuchet MS" w:cs="Trebuchet MS" w:eastAsia="Trebuchet MS" w:hAnsi="Trebuchet MS"/>
            <w:color w:val="8A3A32"/>
            <w:sz w:val="18"/>
            <w:szCs w:val="18"/>
            <w:u w:val="single" w:color="D9B8AE"/>
          </w:rPr>
          <w:t xml:space="preserve">Full team archive</w:t>
        </w:r>
      </w:hyperlink>
    </w:p>
    <w:p>
      <w:pPr>
        <w:spacing w:after="220" w:before="0"/>
        <w:ind w:left="200"/>
      </w:pPr>
      <w:hyperlink w:history="1" r:id="rIdkoeqrbae1d9wg7dzfp1_s">
        <w:r>
          <w:rPr>
            <w:rFonts w:ascii="Trebuchet MS" w:cs="Trebuchet MS" w:eastAsia="Trebuchet MS" w:hAnsi="Trebuchet MS"/>
            <w:color w:val="8A3A32"/>
            <w:sz w:val="18"/>
            <w:szCs w:val="18"/>
            <w:u w:val="single" w:color="D9B8AE"/>
          </w:rPr>
          <w:t xml:space="preserve">Team without protocol archive</w:t>
        </w:r>
      </w:hyperlink>
    </w:p>
    <w:p>
      <w:pPr>
        <w:widowControl/>
        <w:spacing w:after="150" w:before="0" w:line="336" w:lineRule="auto"/>
      </w:pPr>
      <w:r>
        <w:rPr>
          <w:rFonts w:ascii="Georgia" w:cs="Georgia" w:eastAsia="Georgia" w:hAnsi="Georgia"/>
          <w:color w:val="2E2926"/>
          <w:sz w:val="20"/>
          <w:szCs w:val="20"/>
        </w:rPr>
        <w:t xml:space="preserve">The original compressed archives will be preserved. Their JSON members will be extracted without changing the source values for Spark processing. Weekly revision checks will identify corrected archives or additional compatible runs. This historical study has no guaranteed daily additions. The dataset card specifies Apache 2.0.</w:t>
      </w:r>
    </w:p>
    <w:p>
      <w:pPr>
        <w:pStyle w:val="Heading1"/>
        <w:keepNext/>
        <w:keepLines/>
        <w:pBdr>
          <w:bottom w:val="single" w:color="B5593A" w:sz="8" w:space="6"/>
        </w:pBdr>
        <w:spacing w:after="200" w:before="520"/>
      </w:pPr>
      <w:r>
        <w:rPr>
          <w:rFonts w:ascii="Georgia" w:cs="Georgia" w:eastAsia="Georgia" w:hAnsi="Georgia"/>
          <w:b/>
          <w:bCs/>
          <w:color w:val="2A2321"/>
          <w:sz w:val="34"/>
          <w:szCs w:val="34"/>
        </w:rPr>
        <w:t xml:space="preserve">Source metadata and incremental collection</w:t>
      </w:r>
    </w:p>
    <w:p>
      <w:pPr>
        <w:pStyle w:val="Heading2"/>
        <w:keepNext/>
        <w:keepLines/>
        <w:spacing w:after="100" w:before="300"/>
      </w:pPr>
      <w:r>
        <w:rPr>
          <w:rFonts w:ascii="Georgia" w:cs="Georgia" w:eastAsia="Georgia" w:hAnsi="Georgia"/>
          <w:b/>
          <w:bCs/>
          <w:color w:val="744354"/>
          <w:sz w:val="24"/>
          <w:szCs w:val="24"/>
        </w:rPr>
        <w:t xml:space="preserve">BenchLM models benchmarks and pricing</w:t>
      </w:r>
    </w:p>
    <w:p>
      <w:pPr>
        <w:spacing w:after="50" w:before="0"/>
        <w:ind w:left="200"/>
      </w:pPr>
      <w:hyperlink w:history="1" r:id="rIdbmk-xpm0livfojxmswrqx">
        <w:r>
          <w:rPr>
            <w:rFonts w:ascii="Trebuchet MS" w:cs="Trebuchet MS" w:eastAsia="Trebuchet MS" w:hAnsi="Trebuchet MS"/>
            <w:color w:val="8A3A32"/>
            <w:sz w:val="18"/>
            <w:szCs w:val="18"/>
            <w:u w:val="single" w:color="D9B8AE"/>
          </w:rPr>
          <w:t xml:space="preserve">BenchLM models JSON export</w:t>
        </w:r>
      </w:hyperlink>
    </w:p>
    <w:p>
      <w:pPr>
        <w:spacing w:after="50" w:before="0"/>
        <w:ind w:left="200"/>
      </w:pPr>
      <w:hyperlink w:history="1" r:id="rIduecpj51boagpecflziigs">
        <w:r>
          <w:rPr>
            <w:rFonts w:ascii="Trebuchet MS" w:cs="Trebuchet MS" w:eastAsia="Trebuchet MS" w:hAnsi="Trebuchet MS"/>
            <w:color w:val="8A3A32"/>
            <w:sz w:val="18"/>
            <w:szCs w:val="18"/>
            <w:u w:val="single" w:color="D9B8AE"/>
          </w:rPr>
          <w:t xml:space="preserve">BenchLM benchmarks JSON export</w:t>
        </w:r>
      </w:hyperlink>
    </w:p>
    <w:p>
      <w:pPr>
        <w:spacing w:after="50" w:before="0"/>
        <w:ind w:left="200"/>
      </w:pPr>
      <w:hyperlink w:history="1" r:id="rIdr0s8suslm2wyykjztgdo_">
        <w:r>
          <w:rPr>
            <w:rFonts w:ascii="Trebuchet MS" w:cs="Trebuchet MS" w:eastAsia="Trebuchet MS" w:hAnsi="Trebuchet MS"/>
            <w:color w:val="8A3A32"/>
            <w:sz w:val="18"/>
            <w:szCs w:val="18"/>
            <w:u w:val="single" w:color="D9B8AE"/>
          </w:rPr>
          <w:t xml:space="preserve">BenchLM pricing JSON export</w:t>
        </w:r>
      </w:hyperlink>
    </w:p>
    <w:p>
      <w:pPr>
        <w:spacing w:after="220" w:before="0"/>
        <w:ind w:left="200"/>
      </w:pPr>
      <w:hyperlink w:history="1" r:id="rIdcge2p_ejdncbooxkwxakf">
        <w:r>
          <w:rPr>
            <w:rFonts w:ascii="Trebuchet MS" w:cs="Trebuchet MS" w:eastAsia="Trebuchet MS" w:hAnsi="Trebuchet MS"/>
            <w:color w:val="8A3A32"/>
            <w:sz w:val="18"/>
            <w:szCs w:val="18"/>
            <w:u w:val="single" w:color="D9B8AE"/>
          </w:rPr>
          <w:t xml:space="preserve">BenchLM download documentation and licence</w:t>
        </w:r>
      </w:hyperlink>
    </w:p>
    <w:p>
      <w:pPr>
        <w:widowControl/>
        <w:spacing w:after="150" w:before="0" w:line="336" w:lineRule="auto"/>
      </w:pPr>
      <w:r>
        <w:rPr>
          <w:rFonts w:ascii="Georgia" w:cs="Georgia" w:eastAsia="Georgia" w:hAnsi="Georgia"/>
          <w:color w:val="2E2926"/>
          <w:sz w:val="20"/>
          <w:szCs w:val="20"/>
        </w:rPr>
        <w:t xml:space="preserve">The initial load will acquire the complete available exports. Subsequent snapshots will be compared by source identifiers and content to identify new or changed models, benchmark definitions, and prices. Price history will begin with the observations collected by the platform; current prices cannot reconstruct earlier tariffs. Website exports carry CC BY-NC 4.0 and will be used for noncommercial analysis.</w:t>
      </w:r>
    </w:p>
    <w:p>
      <w:pPr>
        <w:pStyle w:val="Heading2"/>
        <w:keepNext/>
        <w:keepLines/>
        <w:spacing w:after="100" w:before="300"/>
      </w:pPr>
      <w:r>
        <w:rPr>
          <w:rFonts w:ascii="Georgia" w:cs="Georgia" w:eastAsia="Georgia" w:hAnsi="Georgia"/>
          <w:b/>
          <w:bCs/>
          <w:color w:val="744354"/>
          <w:sz w:val="24"/>
          <w:szCs w:val="24"/>
        </w:rPr>
        <w:t xml:space="preserve">Epoch AI model releases</w:t>
      </w:r>
    </w:p>
    <w:p>
      <w:pPr>
        <w:spacing w:after="50" w:before="0"/>
        <w:ind w:left="200"/>
      </w:pPr>
      <w:hyperlink w:history="1" r:id="rIdacarlzh25dynuoavwjj7b">
        <w:r>
          <w:rPr>
            <w:rFonts w:ascii="Trebuchet MS" w:cs="Trebuchet MS" w:eastAsia="Trebuchet MS" w:hAnsi="Trebuchet MS"/>
            <w:color w:val="8A3A32"/>
            <w:sz w:val="18"/>
            <w:szCs w:val="18"/>
            <w:u w:val="single" w:color="D9B8AE"/>
          </w:rPr>
          <w:t xml:space="preserve">Epoch AI model CSV export</w:t>
        </w:r>
      </w:hyperlink>
    </w:p>
    <w:p>
      <w:pPr>
        <w:spacing w:after="50" w:before="0"/>
        <w:ind w:left="200"/>
      </w:pPr>
      <w:hyperlink w:history="1" r:id="rIdhjqdi_auwkc0z0n6b90k2">
        <w:r>
          <w:rPr>
            <w:rFonts w:ascii="Trebuchet MS" w:cs="Trebuchet MS" w:eastAsia="Trebuchet MS" w:hAnsi="Trebuchet MS"/>
            <w:color w:val="8A3A32"/>
            <w:sz w:val="18"/>
            <w:szCs w:val="18"/>
            <w:u w:val="single" w:color="D9B8AE"/>
          </w:rPr>
          <w:t xml:space="preserve">Epoch AI model documentation</w:t>
        </w:r>
      </w:hyperlink>
    </w:p>
    <w:p>
      <w:pPr>
        <w:spacing w:after="220" w:before="0"/>
        <w:ind w:left="200"/>
      </w:pPr>
      <w:hyperlink w:history="1" r:id="rIdvnalwh9l3vtc4omzzcz2x">
        <w:r>
          <w:rPr>
            <w:rFonts w:ascii="Trebuchet MS" w:cs="Trebuchet MS" w:eastAsia="Trebuchet MS" w:hAnsi="Trebuchet MS"/>
            <w:color w:val="8A3A32"/>
            <w:sz w:val="18"/>
            <w:szCs w:val="18"/>
            <w:u w:val="single" w:color="D9B8AE"/>
          </w:rPr>
          <w:t xml:space="preserve">Epoch AI update documentation</w:t>
        </w:r>
      </w:hyperlink>
    </w:p>
    <w:p>
      <w:pPr>
        <w:widowControl/>
        <w:spacing w:after="150" w:before="0" w:line="336" w:lineRule="auto"/>
      </w:pPr>
      <w:r>
        <w:rPr>
          <w:rFonts w:ascii="Georgia" w:cs="Georgia" w:eastAsia="Georgia" w:hAnsi="Georgia"/>
          <w:color w:val="2E2926"/>
          <w:sz w:val="20"/>
          <w:szCs w:val="20"/>
        </w:rPr>
        <w:t xml:space="preserve">The full CSV supplies historical model and release metadata. Epoch documents daily updates. Snapshot comparisons will identify additions and changes, with source attribution retained. Author fields and unreviewed free text will be excluded from public samples.</w:t>
      </w:r>
    </w:p>
    <w:p>
      <w:pPr>
        <w:pStyle w:val="Heading2"/>
        <w:keepNext/>
        <w:keepLines/>
        <w:spacing w:after="100" w:before="300"/>
      </w:pPr>
      <w:r>
        <w:rPr>
          <w:rFonts w:ascii="Georgia" w:cs="Georgia" w:eastAsia="Georgia" w:hAnsi="Georgia"/>
          <w:b/>
          <w:bCs/>
          <w:color w:val="744354"/>
          <w:sz w:val="24"/>
          <w:szCs w:val="24"/>
        </w:rPr>
        <w:t xml:space="preserve">Collection frequency and record changes</w:t>
      </w:r>
    </w:p>
    <w:p>
      <w:pPr>
        <w:widowControl/>
        <w:spacing w:after="150" w:before="0" w:line="336" w:lineRule="auto"/>
      </w:pPr>
      <w:r>
        <w:rPr>
          <w:rFonts w:ascii="Georgia" w:cs="Georgia" w:eastAsia="Georgia" w:hAnsi="Georgia"/>
          <w:color w:val="2E2926"/>
          <w:sz w:val="20"/>
          <w:szCs w:val="20"/>
        </w:rPr>
        <w:t xml:space="preserve">The collector will check dynamic sources daily and process available changes in weekly batches. Arena supplies subsequent published observations; catalogs supply changed snapshots; CooperBench supplies revisions when its publisher releases them. Unchanged files will be skipped. Transfer size and the number of changed analytical records will be reported separately.</w:t>
      </w:r>
    </w:p>
    <w:p>
      <w:pPr>
        <w:widowControl/>
        <w:spacing w:after="150" w:before="0" w:line="336" w:lineRule="auto"/>
      </w:pPr>
      <w:r>
        <w:rPr>
          <w:rFonts w:ascii="Georgia" w:cs="Georgia" w:eastAsia="Georgia" w:hAnsi="Georgia"/>
          <w:color w:val="2E2926"/>
          <w:sz w:val="20"/>
          <w:szCs w:val="20"/>
        </w:rPr>
        <w:t xml:space="preserve">Records absent from a complete snapshot will be marked unavailable only after a second successful snapshot confirms the absence. Historical records will remain available. Failed or incomplete downloads will not be interpreted as deletions.</w:t>
      </w:r>
    </w:p>
    <w:p>
      <w:pPr>
        <w:pStyle w:val="Heading2"/>
        <w:keepNext/>
        <w:keepLines/>
        <w:spacing w:after="100" w:before="300"/>
      </w:pPr>
      <w:r>
        <w:rPr>
          <w:rFonts w:ascii="Georgia" w:cs="Georgia" w:eastAsia="Georgia" w:hAnsi="Georgia"/>
          <w:b/>
          <w:bCs/>
          <w:color w:val="744354"/>
          <w:sz w:val="24"/>
          <w:szCs w:val="24"/>
        </w:rPr>
        <w:t xml:space="preserve">Model identity and comparison boundaries</w:t>
      </w:r>
    </w:p>
    <w:p>
      <w:pPr>
        <w:widowControl/>
        <w:spacing w:after="150" w:before="0" w:line="336" w:lineRule="auto"/>
      </w:pPr>
      <w:r>
        <w:rPr>
          <w:rFonts w:ascii="Georgia" w:cs="Georgia" w:eastAsia="Georgia" w:hAnsi="Georgia"/>
          <w:color w:val="2E2926"/>
          <w:sz w:val="20"/>
          <w:szCs w:val="20"/>
        </w:rPr>
        <w:t xml:space="preserve">A shared model and organization catalog will connect the sources. Model versions, reasoning settings, deployment modes, and evaluation harnesses will remain distinguishable. Exact matches will be reviewed before prices or scores are combined. Unresolved identities will retain source-specific keys and remain visible in the dashboard.</w:t>
      </w:r>
    </w:p>
    <w:p>
      <w:pPr>
        <w:widowControl/>
        <w:spacing w:after="150" w:before="0" w:line="336" w:lineRule="auto"/>
      </w:pPr>
      <w:r>
        <w:rPr>
          <w:rFonts w:ascii="Georgia" w:cs="Georgia" w:eastAsia="Georgia" w:hAnsi="Georgia"/>
          <w:color w:val="2E2926"/>
          <w:sz w:val="20"/>
          <w:szCs w:val="20"/>
        </w:rPr>
        <w:t xml:space="preserve">CooperBench identifies a Codex harness and an Azure OpenAI deployment named gpt-5.5-hao. This name will be retained as a deployment alias, with the source-reported organization recorded. It will not be assumed to match a public API pricing entry.</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2</w:t>
      </w:r>
      <w:r>
        <w:rPr>
          <w:rFonts w:ascii="Georgia" w:cs="Georgia" w:eastAsia="Georgia" w:hAnsi="Georgia"/>
          <w:b/>
          <w:bCs/>
          <w:color w:val="2A2321"/>
          <w:sz w:val="34"/>
          <w:szCs w:val="34"/>
        </w:rPr>
        <w:t xml:space="preserve"> Data samples and volume</w:t>
      </w:r>
    </w:p>
    <w:p>
      <w:pPr>
        <w:pStyle w:val="Heading2"/>
        <w:keepNext/>
        <w:keepLines/>
        <w:spacing w:after="100" w:before="300"/>
      </w:pPr>
      <w:r>
        <w:rPr>
          <w:rFonts w:ascii="Georgia" w:cs="Georgia" w:eastAsia="Georgia" w:hAnsi="Georgia"/>
          <w:b/>
          <w:bCs/>
          <w:color w:val="744354"/>
          <w:sz w:val="24"/>
          <w:szCs w:val="24"/>
        </w:rPr>
        <w:t xml:space="preserve">Representative raw files</w:t>
      </w:r>
    </w:p>
    <w:p>
      <w:pPr>
        <w:widowControl/>
        <w:spacing w:after="150" w:before="0" w:line="336" w:lineRule="auto"/>
      </w:pPr>
      <w:r>
        <w:rPr>
          <w:rFonts w:ascii="Georgia" w:cs="Georgia" w:eastAsia="Georgia" w:hAnsi="Georgia"/>
          <w:color w:val="2E2926"/>
          <w:sz w:val="20"/>
          <w:szCs w:val="20"/>
        </w:rPr>
        <w:t xml:space="preserve">The sample package contains historical full-load examples and a subsequent incremental payload. Arena full-load samples contain 100 rows from each selected history, preserving source values and physical types. The incremental samples are complete, unchanged native Parquet files. CooperBench samples are unchanged result JSON members from each study setting.</w:t>
      </w:r>
    </w:p>
    <w:p>
      <w:pPr>
        <w:widowControl/>
        <w:spacing w:after="150" w:before="0" w:line="336" w:lineRule="auto"/>
      </w:pPr>
      <w:r>
        <w:rPr>
          <w:rFonts w:ascii="Georgia" w:cs="Georgia" w:eastAsia="Georgia" w:hAnsi="Georgia"/>
          <w:color w:val="2E2926"/>
          <w:sz w:val="20"/>
          <w:szCs w:val="20"/>
        </w:rPr>
        <w:t xml:space="preserve">A manifest identifies the source revision, selection method, original file size, row count where applicable, and SHA-256 checksum. Historical subsets are representative samples; their serialization sizes are not used to measure the full baseline. The small samples and source notices will be stored in the repository.</w:t>
      </w:r>
    </w:p>
    <w:p>
      <w:pPr>
        <w:pStyle w:val="Heading2"/>
        <w:keepNext/>
        <w:keepLines/>
        <w:spacing w:after="100" w:before="300"/>
      </w:pPr>
      <w:r>
        <w:rPr>
          <w:rFonts w:ascii="Georgia" w:cs="Georgia" w:eastAsia="Georgia" w:hAnsi="Georgia"/>
          <w:b/>
          <w:bCs/>
          <w:color w:val="744354"/>
          <w:sz w:val="24"/>
          <w:szCs w:val="24"/>
        </w:rPr>
        <w:t xml:space="preserve">Initial source volume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7060"/>
        <w:gridCol w:w="2300"/>
      </w:tblGrid>
      <w:tr>
        <w:trPr>
          <w:cantSplit/>
          <w:tblHeader/>
        </w:trPr>
        <w:tc>
          <w:tcPr>
            <w:tcW w:type="dxa" w:w="7060"/>
            <w:tcBorders>
              <w:top w:val="single" w:color="2A2321" w:sz="12"/>
              <w:left w:val="none" w:color="FFFFFF" w:sz="0"/>
              <w:bottom w:val="single" w:color="2A2321" w:sz="6"/>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left"/>
            </w:pPr>
            <w:r>
              <w:rPr>
                <w:rFonts w:ascii="Trebuchet MS" w:cs="Trebuchet MS" w:eastAsia="Trebuchet MS" w:hAnsi="Trebuchet MS"/>
                <w:b/>
                <w:bCs/>
                <w:caps/>
                <w:color w:val="8A3A32"/>
                <w:spacing w:val="24"/>
                <w:sz w:val="16"/>
                <w:szCs w:val="16"/>
              </w:rPr>
              <w:t xml:space="preserve">Selected source payload</w:t>
            </w:r>
          </w:p>
        </w:tc>
        <w:tc>
          <w:tcPr>
            <w:tcW w:type="dxa" w:w="2300"/>
            <w:tcBorders>
              <w:top w:val="single" w:color="2A2321" w:sz="12"/>
              <w:left w:val="none" w:color="FFFFFF" w:sz="0"/>
              <w:bottom w:val="single" w:color="2A2321" w:sz="6"/>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bCs/>
                <w:caps/>
                <w:color w:val="8A3A32"/>
                <w:spacing w:val="24"/>
                <w:sz w:val="16"/>
                <w:szCs w:val="16"/>
              </w:rPr>
              <w:t xml:space="preserve">Size MB</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Arena standard text history</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57.68</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Arena style-controlled text history</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51.09</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Arena web development history</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1.15</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Arena agent evaluation history</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0.07</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CooperBench single agent archive</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14.53</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CooperBench shared Git archive</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30.51</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CooperBench full team archive</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30.63</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CooperBench team without protocol archive</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30.70</w:t>
            </w:r>
          </w:p>
        </w:tc>
      </w:tr>
      <w:tr>
        <w:trPr>
          <w:cantSplit/>
          <w:tblHeader w:val="false"/>
        </w:trPr>
        <w:tc>
          <w:tcPr>
            <w:tcW w:type="dxa" w:w="7060"/>
            <w:tcBorders>
              <w:top w:val="none" w:color="FFFFFF" w:sz="0"/>
              <w:left w:val="none" w:color="FFFFFF" w:sz="0"/>
              <w:bottom w:val="single" w:color="E4D8CE" w:sz="4"/>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Core full load</w:t>
            </w:r>
          </w:p>
        </w:tc>
        <w:tc>
          <w:tcPr>
            <w:tcW w:type="dxa" w:w="2300"/>
            <w:tcBorders>
              <w:top w:val="none" w:color="FFFFFF" w:sz="0"/>
              <w:left w:val="none" w:color="FFFFFF" w:sz="0"/>
              <w:bottom w:val="single" w:color="E4D8CE" w:sz="4"/>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bCs/>
                <w:color w:val="2E2926"/>
                <w:sz w:val="18"/>
                <w:szCs w:val="18"/>
              </w:rPr>
              <w:t xml:space="preserve">216.37</w:t>
            </w:r>
          </w:p>
        </w:tc>
      </w:tr>
      <w:tr>
        <w:trPr>
          <w:cantSplit/>
          <w:tblHeader w:val="false"/>
        </w:trPr>
        <w:tc>
          <w:tcPr>
            <w:tcW w:type="dxa" w:w="70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BenchLM and Epoch supplementary exports</w:t>
            </w:r>
          </w:p>
        </w:tc>
        <w:tc>
          <w:tcPr>
            <w:tcW w:type="dxa" w:w="23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right"/>
            </w:pPr>
            <w:r>
              <w:rPr>
                <w:rFonts w:ascii="Trebuchet MS" w:cs="Trebuchet MS" w:eastAsia="Trebuchet MS" w:hAnsi="Trebuchet MS"/>
                <w:b w:val="false"/>
                <w:bCs w:val="false"/>
                <w:color w:val="2E2926"/>
                <w:sz w:val="18"/>
                <w:szCs w:val="18"/>
              </w:rPr>
              <w:t xml:space="preserve">10.18</w:t>
            </w:r>
          </w:p>
        </w:tc>
      </w:tr>
      <w:tr>
        <w:trPr>
          <w:cantSplit/>
          <w:tblHeader w:val="false"/>
        </w:trPr>
        <w:tc>
          <w:tcPr>
            <w:tcW w:type="dxa" w:w="7060"/>
            <w:tcBorders>
              <w:top w:val="none" w:color="FFFFFF" w:sz="0"/>
              <w:left w:val="none" w:color="FFFFFF" w:sz="0"/>
              <w:bottom w:val="single" w:color="2A2321" w:sz="12"/>
              <w:right w:val="none" w:color="FFFFFF" w:sz="0"/>
            </w:tcBorders>
            <w:shd w:fill="F7F0EA" w:color="auto" w:val="clear"/>
            <w:tcMar>
              <w:top w:type="dxa" w:w="100"/>
              <w:left w:type="dxa" w:w="120"/>
              <w:bottom w:type="dxa" w:w="100"/>
              <w:right w:type="dxa" w:w="120"/>
            </w:tcMar>
            <w:vAlign w:val="center"/>
          </w:tcPr>
          <w:p>
            <w:pPr>
              <w:keepNext w:val="false"/>
              <w:spacing w:after="0" w:before="0" w:line="276" w:lineRule="auto"/>
              <w:jc w:val="left"/>
            </w:pPr>
            <w:r>
              <w:rPr>
                <w:rFonts w:ascii="Georgia" w:cs="Georgia" w:eastAsia="Georgia" w:hAnsi="Georgia"/>
                <w:b/>
                <w:bCs/>
                <w:color w:val="2A2321"/>
                <w:sz w:val="19"/>
                <w:szCs w:val="19"/>
              </w:rPr>
              <w:t xml:space="preserve">Expected combined initial acquisition</w:t>
            </w:r>
          </w:p>
        </w:tc>
        <w:tc>
          <w:tcPr>
            <w:tcW w:type="dxa" w:w="2300"/>
            <w:tcBorders>
              <w:top w:val="none" w:color="FFFFFF" w:sz="0"/>
              <w:left w:val="none" w:color="FFFFFF" w:sz="0"/>
              <w:bottom w:val="single" w:color="2A2321" w:sz="12"/>
              <w:right w:val="none" w:color="FFFFFF" w:sz="0"/>
            </w:tcBorders>
            <w:shd w:fill="F7F0EA" w:color="auto" w:val="clear"/>
            <w:tcMar>
              <w:top w:type="dxa" w:w="100"/>
              <w:left w:type="dxa" w:w="120"/>
              <w:bottom w:type="dxa" w:w="100"/>
              <w:right w:type="dxa" w:w="120"/>
            </w:tcMar>
            <w:vAlign w:val="center"/>
          </w:tcPr>
          <w:p>
            <w:pPr>
              <w:keepNext w:val="false"/>
              <w:spacing w:after="0" w:before="0" w:line="276" w:lineRule="auto"/>
              <w:jc w:val="right"/>
            </w:pPr>
            <w:r>
              <w:rPr>
                <w:rFonts w:ascii="Trebuchet MS" w:cs="Trebuchet MS" w:eastAsia="Trebuchet MS" w:hAnsi="Trebuchet MS"/>
                <w:b/>
                <w:bCs/>
                <w:color w:val="2E2926"/>
                <w:sz w:val="18"/>
                <w:szCs w:val="18"/>
              </w:rPr>
              <w:t xml:space="preserve">Approximately 227</w:t>
            </w:r>
          </w:p>
        </w:tc>
      </w:tr>
    </w:tbl>
    <w:p>
      <w:pPr>
        <w:spacing w:after="100" w:before="0" w:line="120" w:lineRule="exact"/>
      </w:pPr>
    </w:p>
    <w:p>
      <w:pPr>
        <w:widowControl/>
        <w:spacing w:after="150" w:before="0" w:line="336" w:lineRule="auto"/>
      </w:pPr>
      <w:r>
        <w:rPr>
          <w:rFonts w:ascii="Georgia" w:cs="Georgia" w:eastAsia="Georgia" w:hAnsi="Georgia"/>
          <w:color w:val="2E2926"/>
          <w:sz w:val="20"/>
          <w:szCs w:val="20"/>
        </w:rPr>
        <w:t xml:space="preserve">All sizes use decimal MB. Arena sizes refer to original Parquet payloads, and CooperBench sizes refer to original compressed archives. The archives expand to approximately 1,044 MB of file contents; this decoded footprint is separate from the 106.37 MB received from the source.</w:t>
      </w:r>
    </w:p>
    <w:p>
      <w:pPr>
        <w:pStyle w:val="Heading2"/>
        <w:keepNext/>
        <w:keepLines/>
        <w:spacing w:after="100" w:before="300"/>
      </w:pPr>
      <w:r>
        <w:rPr>
          <w:rFonts w:ascii="Georgia" w:cs="Georgia" w:eastAsia="Georgia" w:hAnsi="Georgia"/>
          <w:b/>
          <w:bCs/>
          <w:color w:val="744354"/>
          <w:sz w:val="24"/>
          <w:szCs w:val="24"/>
        </w:rPr>
        <w:t xml:space="preserve">Incremental volume and frequency</w:t>
      </w:r>
    </w:p>
    <w:p>
      <w:pPr>
        <w:widowControl/>
        <w:spacing w:after="150" w:before="0" w:line="336" w:lineRule="auto"/>
      </w:pPr>
      <w:r>
        <w:rPr>
          <w:rFonts w:ascii="Georgia" w:cs="Georgia" w:eastAsia="Georgia" w:hAnsi="Georgia"/>
          <w:color w:val="2E2926"/>
          <w:sz w:val="20"/>
          <w:szCs w:val="20"/>
        </w:rPr>
        <w:t xml:space="preserve">The supplied incremental batch contains 10,923 standard text records, 10,923 style-controlled text records, and 50 agent records. Its three original Parquet files total 1,219,849 bytes, or 1.22 MB. These observations follow the selected historical baseline.</w:t>
      </w:r>
    </w:p>
    <w:p>
      <w:pPr>
        <w:widowControl/>
        <w:spacing w:after="150" w:before="0" w:line="336" w:lineRule="auto"/>
      </w:pPr>
      <w:r>
        <w:rPr>
          <w:rFonts w:ascii="Georgia" w:cs="Georgia" w:eastAsia="Georgia" w:hAnsi="Georgia"/>
          <w:color w:val="2E2926"/>
          <w:sz w:val="20"/>
          <w:szCs w:val="20"/>
        </w:rPr>
        <w:t xml:space="preserve">Routine collection will check daily, with weekly processing of available publications. Around 1–10 MB per weekly analytical batch is an initial planning estimate, based on the measured publication size and source activity. Actual increments may be smaller or larger. Catalog snapshot downloads and occasional history reconciliation are additional transfers, not a guaranteed amount of new evidence.</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3</w:t>
      </w:r>
      <w:r>
        <w:rPr>
          <w:rFonts w:ascii="Georgia" w:cs="Georgia" w:eastAsia="Georgia" w:hAnsi="Georgia"/>
          <w:b/>
          <w:bCs/>
          <w:color w:val="2A2321"/>
          <w:sz w:val="34"/>
          <w:szCs w:val="34"/>
        </w:rPr>
        <w:t xml:space="preserve"> Security and compliance</w:t>
      </w:r>
    </w:p>
    <w:p>
      <w:pPr>
        <w:pStyle w:val="Heading2"/>
        <w:keepNext/>
        <w:keepLines/>
        <w:spacing w:after="100" w:before="300"/>
      </w:pPr>
      <w:r>
        <w:rPr>
          <w:rFonts w:ascii="Georgia" w:cs="Georgia" w:eastAsia="Georgia" w:hAnsi="Georgia"/>
          <w:b/>
          <w:bCs/>
          <w:color w:val="744354"/>
          <w:sz w:val="24"/>
          <w:szCs w:val="24"/>
        </w:rPr>
        <w:t xml:space="preserve">Personal and sensitive information</w:t>
      </w:r>
    </w:p>
    <w:p>
      <w:pPr>
        <w:widowControl/>
        <w:spacing w:after="150" w:before="0" w:line="336" w:lineRule="auto"/>
      </w:pPr>
      <w:r>
        <w:rPr>
          <w:rFonts w:ascii="Georgia" w:cs="Georgia" w:eastAsia="Georgia" w:hAnsi="Georgia"/>
          <w:color w:val="2E2926"/>
          <w:sz w:val="20"/>
          <w:szCs w:val="20"/>
        </w:rPr>
        <w:t xml:space="preserve">The inspected Arena samples contain model and organization names, aggregate evaluation measures, counts, categories, and publication metadata. They contain no participant identities, email addresses, exact IP addresses, payment details, or individual prompts. Their fields describe models and aggregate results rather than people.</w:t>
      </w:r>
    </w:p>
    <w:p>
      <w:pPr>
        <w:widowControl/>
        <w:spacing w:after="150" w:before="0" w:line="336" w:lineRule="auto"/>
      </w:pPr>
      <w:r>
        <w:rPr>
          <w:rFonts w:ascii="Georgia" w:cs="Georgia" w:eastAsia="Georgia" w:hAnsi="Georgia"/>
          <w:color w:val="2E2926"/>
          <w:sz w:val="20"/>
          <w:szCs w:val="20"/>
        </w:rPr>
        <w:t xml:space="preserve">The selected CooperBench result samples contain task identifiers, configuration details, status, and duration. Their contents have been inspected for public release. The complete archives require different handling: traces, test output, patches, and inherited repository text can contain names, email addresses, file paths, or other sensitive text. An email-pattern scan identified candidate strings in 1,760 archive members; these are not a count of unique people.</w:t>
      </w:r>
    </w:p>
    <w:p>
      <w:pPr>
        <w:widowControl/>
        <w:spacing w:after="150" w:before="0" w:line="336" w:lineRule="auto"/>
      </w:pPr>
      <w:r>
        <w:rPr>
          <w:rFonts w:ascii="Georgia" w:cs="Georgia" w:eastAsia="Georgia" w:hAnsi="Georgia"/>
          <w:color w:val="2E2926"/>
          <w:sz w:val="20"/>
          <w:szCs w:val="20"/>
        </w:rPr>
        <w:t xml:space="preserve">Epoch model data includes author names and potential contact information in free text. Inspection found populated author fields in 2,696 of 3,626 records and 15 email-pattern occurrences. BenchLM source credits can also name contributors. Published API tariffs are service prices and do not represent personal financial transactions.</w:t>
      </w:r>
    </w:p>
    <w:p>
      <w:pPr>
        <w:pStyle w:val="Heading2"/>
        <w:keepNext/>
        <w:keepLines/>
        <w:spacing w:after="100" w:before="300"/>
      </w:pPr>
      <w:r>
        <w:rPr>
          <w:rFonts w:ascii="Georgia" w:cs="Georgia" w:eastAsia="Georgia" w:hAnsi="Georgia"/>
          <w:b/>
          <w:bCs/>
          <w:color w:val="744354"/>
          <w:sz w:val="24"/>
          <w:szCs w:val="24"/>
        </w:rPr>
        <w:t xml:space="preserve">Handling strategy</w:t>
      </w:r>
    </w:p>
    <w:p>
      <w:pPr>
        <w:widowControl/>
        <w:spacing w:after="150" w:before="0" w:line="336" w:lineRule="auto"/>
      </w:pPr>
      <w:r>
        <w:rPr>
          <w:rFonts w:ascii="Georgia" w:cs="Georgia" w:eastAsia="Georgia" w:hAnsi="Georgia"/>
          <w:color w:val="2E2926"/>
          <w:sz w:val="20"/>
          <w:szCs w:val="20"/>
        </w:rPr>
        <w:t xml:space="preserve">Original archives, unreviewed text, and complete Epoch exports will remain in storage accessible only to authorized project collaborators. Public samples will be limited to inspected aggregate records and clean study result members. Raw prompts, test logs, repository author details, and unnecessary paths will not be published.</w:t>
      </w:r>
    </w:p>
    <w:p>
      <w:pPr>
        <w:widowControl/>
        <w:spacing w:after="150" w:before="0" w:line="336" w:lineRule="auto"/>
      </w:pPr>
      <w:r>
        <w:rPr>
          <w:rFonts w:ascii="Georgia" w:cs="Georgia" w:eastAsia="Georgia" w:hAnsi="Georgia"/>
          <w:color w:val="2E2926"/>
          <w:sz w:val="20"/>
          <w:szCs w:val="20"/>
        </w:rPr>
        <w:t xml:space="preserve">Silver will drop personal names, email addresses, contact information, and free text that has no analytical purpose. Personal identifiers do not contribute to the planned metrics, so removal is preferable to hashing. Detailed traces will remain restricted and linked through controlled artifact identifiers when needed to inspect a result.</w:t>
      </w:r>
    </w:p>
    <w:p>
      <w:pPr>
        <w:widowControl/>
        <w:spacing w:after="150" w:before="0" w:line="336" w:lineRule="auto"/>
      </w:pPr>
      <w:r>
        <w:rPr>
          <w:rFonts w:ascii="Georgia" w:cs="Georgia" w:eastAsia="Georgia" w:hAnsi="Georgia"/>
          <w:color w:val="2E2926"/>
          <w:sz w:val="20"/>
          <w:szCs w:val="20"/>
        </w:rPr>
        <w:t xml:space="preserve">Credentials will remain outside Git and be held in environment variables or supported workspace secrets. Public samples will be reviewed whenever a source adds fields or changes its structure.</w:t>
      </w:r>
    </w:p>
    <w:p>
      <w:pPr>
        <w:pStyle w:val="Heading2"/>
        <w:keepNext/>
        <w:keepLines/>
        <w:spacing w:after="100" w:before="300"/>
      </w:pPr>
      <w:r>
        <w:rPr>
          <w:rFonts w:ascii="Georgia" w:cs="Georgia" w:eastAsia="Georgia" w:hAnsi="Georgia"/>
          <w:b/>
          <w:bCs/>
          <w:color w:val="744354"/>
          <w:sz w:val="24"/>
          <w:szCs w:val="24"/>
        </w:rPr>
        <w:t xml:space="preserve">Source licences and valid interpretation</w:t>
      </w:r>
    </w:p>
    <w:p>
      <w:pPr>
        <w:widowControl/>
        <w:spacing w:after="150" w:before="0" w:line="336" w:lineRule="auto"/>
      </w:pPr>
      <w:r>
        <w:rPr>
          <w:rFonts w:ascii="Georgia" w:cs="Georgia" w:eastAsia="Georgia" w:hAnsi="Georgia"/>
          <w:color w:val="2E2926"/>
          <w:sz w:val="20"/>
          <w:szCs w:val="20"/>
        </w:rPr>
        <w:t xml:space="preserve">Arena attribution will follow CC BY 4.0. CooperBench’s Apache 2.0 source licence and applicable inherited notices will be retained. Epoch will receive its requested attribution. BenchLM exports will remain subject to CC BY-NC 4.0. The repository’s MIT licence will apply to project code rather than replace upstream data licences.</w:t>
      </w:r>
    </w:p>
    <w:p>
      <w:pPr>
        <w:widowControl/>
        <w:spacing w:after="150" w:before="0" w:line="336" w:lineRule="auto"/>
      </w:pPr>
      <w:r>
        <w:rPr>
          <w:rFonts w:ascii="Georgia" w:cs="Georgia" w:eastAsia="Georgia" w:hAnsi="Georgia"/>
          <w:color w:val="2E2926"/>
          <w:sz w:val="20"/>
          <w:szCs w:val="20"/>
        </w:rPr>
        <w:t xml:space="preserve">Missing prices and measurements will remain missing. CooperBench’s zero-filled token and cost fields will be treated as unmeasured unless other trace evidence establishes valid values. Preference ratings, benchmark scores, and agent success rates will retain their own units and will not be combined into one universal ranking.</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4</w:t>
      </w:r>
      <w:r>
        <w:rPr>
          <w:rFonts w:ascii="Georgia" w:cs="Georgia" w:eastAsia="Georgia" w:hAnsi="Georgia"/>
          <w:b/>
          <w:bCs/>
          <w:color w:val="2A2321"/>
          <w:sz w:val="34"/>
          <w:szCs w:val="34"/>
        </w:rPr>
        <w:t xml:space="preserve"> High level Medallion data modeling</w:t>
      </w:r>
    </w:p>
    <w:p>
      <w:pPr>
        <w:pStyle w:val="Heading2"/>
        <w:keepNext/>
        <w:keepLines/>
        <w:spacing w:after="100" w:before="300"/>
      </w:pPr>
      <w:r>
        <w:rPr>
          <w:rFonts w:ascii="Georgia" w:cs="Georgia" w:eastAsia="Georgia" w:hAnsi="Georgia"/>
          <w:b/>
          <w:bCs/>
          <w:color w:val="744354"/>
          <w:sz w:val="24"/>
          <w:szCs w:val="24"/>
        </w:rPr>
        <w:t xml:space="preserve">Bronze original evidence</w:t>
      </w:r>
    </w:p>
    <w:p>
      <w:pPr>
        <w:widowControl/>
        <w:spacing w:after="150" w:before="0" w:line="336" w:lineRule="auto"/>
      </w:pPr>
      <w:r>
        <w:rPr>
          <w:rFonts w:ascii="Georgia" w:cs="Georgia" w:eastAsia="Georgia" w:hAnsi="Georgia"/>
          <w:color w:val="2E2926"/>
          <w:sz w:val="20"/>
          <w:szCs w:val="20"/>
        </w:rPr>
        <w:t xml:space="preserve">Bronze will preserve Arena Parquet, CooperBench compressed archives, BenchLM JSON, and Epoch CSV as received. Parsed source records will retain their original values alongside provenance, source identifiers, collection timestamps, and file references. Archive members will remain traceable to their parent payload.</w:t>
      </w:r>
    </w:p>
    <w:p>
      <w:pPr>
        <w:pStyle w:val="Heading2"/>
        <w:keepNext/>
        <w:keepLines/>
        <w:spacing w:after="100" w:before="300"/>
      </w:pPr>
      <w:r>
        <w:rPr>
          <w:rFonts w:ascii="Georgia" w:cs="Georgia" w:eastAsia="Georgia" w:hAnsi="Georgia"/>
          <w:b/>
          <w:bCs/>
          <w:color w:val="744354"/>
          <w:sz w:val="24"/>
          <w:szCs w:val="24"/>
        </w:rPr>
        <w:t xml:space="preserve">Silver cleaning and consolidation</w:t>
      </w:r>
    </w:p>
    <w:p>
      <w:pPr>
        <w:widowControl/>
        <w:spacing w:after="150" w:before="0" w:line="336" w:lineRule="auto"/>
      </w:pPr>
      <w:r>
        <w:rPr>
          <w:rFonts w:ascii="Georgia" w:cs="Georgia" w:eastAsia="Georgia" w:hAnsi="Georgia"/>
          <w:color w:val="2E2926"/>
          <w:sz w:val="20"/>
          <w:szCs w:val="20"/>
        </w:rPr>
        <w:t xml:space="preserve">Silver will parse publication and release fields consistently, convert prices to decimal USD per million tokens, and validate count fields before conversion to whole numbers. Missing values will stay distinct from zeros. Reviewed model aliases and organization names will support joins without merging incompatible configurations.</w:t>
      </w:r>
    </w:p>
    <w:p>
      <w:pPr>
        <w:widowControl/>
        <w:spacing w:after="150" w:before="0" w:line="336" w:lineRule="auto"/>
      </w:pPr>
      <w:r>
        <w:rPr>
          <w:rFonts w:ascii="Georgia" w:cs="Georgia" w:eastAsia="Georgia" w:hAnsi="Georgia"/>
          <w:color w:val="2E2926"/>
          <w:sz w:val="20"/>
          <w:szCs w:val="20"/>
        </w:rPr>
        <w:t xml:space="preserve">Duplicates will be identified through stable source keys. Conflicting records will be held for review rather than resolved by selecting an arbitrary row. Study results and evaluations will be joined through the run, repository task, and feature pair. Missing evaluations will remain visible, with completion and evaluation coverage reported separately.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cantSplit/>
          <w:tblHeader/>
        </w:trPr>
        <w:tc>
          <w:tcPr>
            <w:tcW w:type="dxa" w:w="3000"/>
            <w:tcBorders>
              <w:top w:val="single" w:color="2A2321" w:sz="12"/>
              <w:left w:val="none" w:color="FFFFFF" w:sz="0"/>
              <w:bottom w:val="single" w:color="2A2321" w:sz="6"/>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left"/>
            </w:pPr>
            <w:r>
              <w:rPr>
                <w:rFonts w:ascii="Trebuchet MS" w:cs="Trebuchet MS" w:eastAsia="Trebuchet MS" w:hAnsi="Trebuchet MS"/>
                <w:b/>
                <w:bCs/>
                <w:caps/>
                <w:color w:val="8A3A32"/>
                <w:spacing w:val="24"/>
                <w:sz w:val="16"/>
                <w:szCs w:val="16"/>
              </w:rPr>
              <w:t xml:space="preserve">Planned Silver dataset</w:t>
            </w:r>
          </w:p>
        </w:tc>
        <w:tc>
          <w:tcPr>
            <w:tcW w:type="dxa" w:w="6360"/>
            <w:tcBorders>
              <w:top w:val="single" w:color="2A2321" w:sz="12"/>
              <w:left w:val="none" w:color="FFFFFF" w:sz="0"/>
              <w:bottom w:val="single" w:color="2A2321" w:sz="6"/>
              <w:right w:val="none" w:color="FFFFFF" w:sz="0"/>
            </w:tcBorders>
            <w:shd w:fill="F7F0EA" w:color="auto" w:val="clear"/>
            <w:tcMar>
              <w:top w:type="dxa" w:w="100"/>
              <w:left w:type="dxa" w:w="120"/>
              <w:bottom w:type="dxa" w:w="100"/>
              <w:right w:type="dxa" w:w="120"/>
            </w:tcMar>
            <w:vAlign w:val="center"/>
          </w:tcPr>
          <w:p>
            <w:pPr>
              <w:keepNext/>
              <w:spacing w:after="0" w:before="0" w:line="276" w:lineRule="auto"/>
              <w:jc w:val="left"/>
            </w:pPr>
            <w:r>
              <w:rPr>
                <w:rFonts w:ascii="Trebuchet MS" w:cs="Trebuchet MS" w:eastAsia="Trebuchet MS" w:hAnsi="Trebuchet MS"/>
                <w:b/>
                <w:bCs/>
                <w:caps/>
                <w:color w:val="8A3A32"/>
                <w:spacing w:val="24"/>
                <w:sz w:val="16"/>
                <w:szCs w:val="16"/>
              </w:rPr>
              <w:t xml:space="preserve">Record grain</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Model identities and organizations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source model configuration, with reviewed aliases and organization mapping.</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Evaluation observations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model configuration, evaluation series, methodology, and publication observation.</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Agent task results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study run and task pair; status, duration, evaluated success, and merge outcome.</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Agent trace summaries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task pair and agent; available execution evidence and measurement coverage.</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Benchmark definitions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benchmark version, with metric, units, and evaluation method.</w:t>
            </w:r>
          </w:p>
        </w:tc>
      </w:tr>
      <w:tr>
        <w:trPr>
          <w:cantSplit/>
          <w:tblHeader w:val="false"/>
        </w:trPr>
        <w:tc>
          <w:tcPr>
            <w:tcW w:type="dxa" w:w="300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bCs/>
                <w:color w:val="2A2321"/>
                <w:sz w:val="19"/>
                <w:szCs w:val="19"/>
              </w:rPr>
              <w:t xml:space="preserve">Pricing observations</w:t>
            </w:r>
          </w:p>
        </w:tc>
        <w:tc>
          <w:tcPr>
            <w:tcW w:type="dxa" w:w="6360"/>
            <w:tcBorders>
              <w:top w:val="none" w:color="FFFFFF" w:sz="0"/>
              <w:left w:val="none" w:color="FFFFFF" w:sz="0"/>
              <w:bottom w:val="single" w:color="E4D8CE" w:sz="4"/>
              <w:right w:val="none" w:color="FFFFFF" w:sz="0"/>
            </w:tcBorders>
            <w:tcMar>
              <w:top w:type="dxa" w:w="100"/>
              <w:left w:type="dxa" w:w="120"/>
              <w:bottom w:type="dxa" w:w="100"/>
              <w:right w:type="dxa" w:w="120"/>
            </w:tcMar>
            <w:vAlign w:val="center"/>
          </w:tcPr>
          <w:p>
            <w:pPr>
              <w:keepNext/>
              <w:spacing w:after="0" w:before="0" w:line="276" w:lineRule="auto"/>
              <w:jc w:val="left"/>
            </w:pPr>
            <w:r>
              <w:rPr>
                <w:rFonts w:ascii="Georgia" w:cs="Georgia" w:eastAsia="Georgia" w:hAnsi="Georgia"/>
                <w:b w:val="false"/>
                <w:bCs w:val="false"/>
                <w:color w:val="2E2926"/>
                <w:sz w:val="19"/>
                <w:szCs w:val="19"/>
              </w:rPr>
              <w:t xml:space="preserve">One source tariff and compatible model configuration per observation.</w:t>
            </w:r>
          </w:p>
        </w:tc>
      </w:tr>
      <w:tr>
        <w:trPr>
          <w:cantSplit/>
          <w:tblHeader w:val="false"/>
        </w:trPr>
        <w:tc>
          <w:tcPr>
            <w:tcW w:type="dxa" w:w="3000"/>
            <w:tcBorders>
              <w:top w:val="none" w:color="FFFFFF" w:sz="0"/>
              <w:left w:val="none" w:color="FFFFFF" w:sz="0"/>
              <w:bottom w:val="single" w:color="2A2321" w:sz="12"/>
              <w:right w:val="none" w:color="FFFFFF" w:sz="0"/>
            </w:tcBorders>
            <w:tcMar>
              <w:top w:type="dxa" w:w="100"/>
              <w:left w:type="dxa" w:w="120"/>
              <w:bottom w:type="dxa" w:w="100"/>
              <w:right w:type="dxa" w:w="120"/>
            </w:tcMar>
            <w:vAlign w:val="center"/>
          </w:tcPr>
          <w:p>
            <w:pPr>
              <w:keepNext w:val="false"/>
              <w:spacing w:after="0" w:before="0" w:line="276" w:lineRule="auto"/>
              <w:jc w:val="left"/>
            </w:pPr>
            <w:r>
              <w:rPr>
                <w:rFonts w:ascii="Georgia" w:cs="Georgia" w:eastAsia="Georgia" w:hAnsi="Georgia"/>
                <w:b/>
                <w:bCs/>
                <w:color w:val="2A2321"/>
                <w:sz w:val="19"/>
                <w:szCs w:val="19"/>
              </w:rPr>
              <w:t xml:space="preserve">Release observations</w:t>
            </w:r>
          </w:p>
        </w:tc>
        <w:tc>
          <w:tcPr>
            <w:tcW w:type="dxa" w:w="6360"/>
            <w:tcBorders>
              <w:top w:val="none" w:color="FFFFFF" w:sz="0"/>
              <w:left w:val="none" w:color="FFFFFF" w:sz="0"/>
              <w:bottom w:val="single" w:color="2A2321" w:sz="12"/>
              <w:right w:val="none" w:color="FFFFFF" w:sz="0"/>
            </w:tcBorders>
            <w:tcMar>
              <w:top w:type="dxa" w:w="100"/>
              <w:left w:type="dxa" w:w="120"/>
              <w:bottom w:type="dxa" w:w="100"/>
              <w:right w:type="dxa" w:w="120"/>
            </w:tcMar>
            <w:vAlign w:val="center"/>
          </w:tcPr>
          <w:p>
            <w:pPr>
              <w:keepNext w:val="false"/>
              <w:spacing w:after="0" w:before="0" w:line="276" w:lineRule="auto"/>
              <w:jc w:val="left"/>
            </w:pPr>
            <w:r>
              <w:rPr>
                <w:rFonts w:ascii="Georgia" w:cs="Georgia" w:eastAsia="Georgia" w:hAnsi="Georgia"/>
                <w:b w:val="false"/>
                <w:bCs w:val="false"/>
                <w:color w:val="2E2926"/>
                <w:sz w:val="19"/>
                <w:szCs w:val="19"/>
              </w:rPr>
              <w:t xml:space="preserve">One source model metadata observation, with release context and provenance.</w:t>
            </w:r>
          </w:p>
        </w:tc>
      </w:tr>
    </w:tbl>
    <w:p>
      <w:pPr>
        <w:spacing w:after="100" w:before="0" w:line="120" w:lineRule="exact"/>
      </w:pPr>
    </w:p>
    <w:p>
      <w:pPr>
        <w:pStyle w:val="Heading2"/>
        <w:keepNext/>
        <w:keepLines/>
        <w:spacing w:after="100" w:before="300"/>
      </w:pPr>
      <w:r>
        <w:rPr>
          <w:rFonts w:ascii="Georgia" w:cs="Georgia" w:eastAsia="Georgia" w:hAnsi="Georgia"/>
          <w:b/>
          <w:bCs/>
          <w:color w:val="744354"/>
          <w:sz w:val="24"/>
          <w:szCs w:val="24"/>
        </w:rPr>
        <w:t xml:space="preserve">Gold analytical model</w:t>
      </w:r>
    </w:p>
    <w:p>
      <w:pPr>
        <w:widowControl/>
        <w:spacing w:after="150" w:before="0" w:line="336" w:lineRule="auto"/>
      </w:pPr>
      <w:r>
        <w:rPr>
          <w:rFonts w:ascii="Georgia" w:cs="Georgia" w:eastAsia="Georgia" w:hAnsi="Georgia"/>
          <w:color w:val="2E2926"/>
          <w:sz w:val="20"/>
          <w:szCs w:val="20"/>
        </w:rPr>
        <w:t xml:space="preserve">Gold will use model configuration, organization, benchmark, methodology, and time dimensions. Agent facts will also use task and study-setting dimensions. Consolidated tables will provide comparable capability trends, model price and score comparisons, workload cost scenarios, and coordination outcomes.</w:t>
      </w:r>
    </w:p>
    <w:p>
      <w:pPr>
        <w:widowControl/>
        <w:spacing w:after="150" w:before="0" w:line="336" w:lineRule="auto"/>
      </w:pPr>
      <w:r>
        <w:rPr>
          <w:rFonts w:ascii="Georgia" w:cs="Georgia" w:eastAsia="Georgia" w:hAnsi="Georgia"/>
          <w:color w:val="2E2926"/>
          <w:sz w:val="20"/>
          <w:szCs w:val="20"/>
        </w:rPr>
        <w:t xml:space="preserve">Agent summaries will compare matched task pairs and report success, duration, merge failures, and evaluation coverage. Price comparisons will require a compatible configuration and an appropriate observed tariff. Unknown historical prices and unresolved deployment aliases will remain unmatched.</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5</w:t>
      </w:r>
      <w:r>
        <w:rPr>
          <w:rFonts w:ascii="Georgia" w:cs="Georgia" w:eastAsia="Georgia" w:hAnsi="Georgia"/>
          <w:b/>
          <w:bCs/>
          <w:color w:val="2A2321"/>
          <w:sz w:val="34"/>
          <w:szCs w:val="34"/>
        </w:rPr>
        <w:t xml:space="preserve"> Business intelligence and dashboards</w:t>
      </w:r>
    </w:p>
    <w:p>
      <w:pPr>
        <w:widowControl/>
        <w:spacing w:after="150" w:before="0" w:line="336" w:lineRule="auto"/>
      </w:pPr>
      <w:r>
        <w:rPr>
          <w:rFonts w:ascii="Georgia" w:cs="Georgia" w:eastAsia="Georgia" w:hAnsi="Georgia"/>
          <w:color w:val="2E2926"/>
          <w:sz w:val="20"/>
          <w:szCs w:val="20"/>
        </w:rPr>
        <w:t xml:space="preserve">The preferred dashboard will use Databricks SQL over Gold tables. A local dashboard using exported Gold data is the free fallback. Filters will cover source, organization, model configuration, evaluation series, observation period, and study setting. Three views will answer the main analytical questions.</w:t>
      </w:r>
    </w:p>
    <w:p>
      <w:pPr>
        <w:pStyle w:val="Heading2"/>
        <w:keepNext/>
        <w:keepLines/>
        <w:spacing w:after="100" w:before="300"/>
      </w:pPr>
      <w:r>
        <w:rPr>
          <w:rFonts w:ascii="Georgia" w:cs="Georgia" w:eastAsia="Georgia" w:hAnsi="Georgia"/>
          <w:b/>
          <w:bCs/>
          <w:color w:val="744354"/>
          <w:sz w:val="24"/>
          <w:szCs w:val="24"/>
        </w:rPr>
        <w:t xml:space="preserve">Capability and estimated cost</w:t>
      </w:r>
    </w:p>
    <w:p>
      <w:pPr>
        <w:widowControl/>
        <w:spacing w:after="150" w:before="0" w:line="336" w:lineRule="auto"/>
      </w:pPr>
      <w:r>
        <w:rPr>
          <w:rFonts w:ascii="Georgia" w:cs="Georgia" w:eastAsia="Georgia" w:hAnsi="Georgia"/>
          <w:color w:val="2E2926"/>
          <w:sz w:val="20"/>
          <w:szCs w:val="20"/>
        </w:rPr>
        <w:t xml:space="preserve">A scatterplot will compare an eligible evaluation score against estimated token expenditure for a defined workload. Separate panels will preserve benchmark families and measurement units. The view will identify models for which no comparable alternative has both a better score and a lower estimated cost.</w:t>
      </w:r>
    </w:p>
    <w:p>
      <w:pPr>
        <w:widowControl/>
        <w:spacing w:after="150" w:before="0" w:line="336" w:lineRule="auto"/>
      </w:pPr>
      <w:r>
        <w:rPr>
          <w:rFonts w:ascii="Georgia" w:cs="Georgia" w:eastAsia="Georgia" w:hAnsi="Georgia"/>
          <w:color w:val="2E2926"/>
          <w:sz w:val="20"/>
          <w:szCs w:val="20"/>
        </w:rPr>
        <w:t xml:space="preserve">Business question: which models offer a favorable capability and cost trade-off for a stated workload? The estimate will use request volume, input tokens, billable output tokens, and observed tariffs. Missing prices will remain visible, and incompatible configurations will be excluded from the comparison.</w:t>
      </w:r>
    </w:p>
    <w:p>
      <w:pPr>
        <w:pStyle w:val="Heading2"/>
        <w:keepNext/>
        <w:keepLines/>
        <w:spacing w:after="100" w:before="300"/>
      </w:pPr>
      <w:r>
        <w:rPr>
          <w:rFonts w:ascii="Georgia" w:cs="Georgia" w:eastAsia="Georgia" w:hAnsi="Georgia"/>
          <w:b/>
          <w:bCs/>
          <w:color w:val="744354"/>
          <w:sz w:val="24"/>
          <w:szCs w:val="24"/>
        </w:rPr>
        <w:t xml:space="preserve">Coding agent coordination</w:t>
      </w:r>
    </w:p>
    <w:p>
      <w:pPr>
        <w:widowControl/>
        <w:spacing w:after="150" w:before="0" w:line="336" w:lineRule="auto"/>
      </w:pPr>
      <w:r>
        <w:rPr>
          <w:rFonts w:ascii="Georgia" w:cs="Georgia" w:eastAsia="Georgia" w:hAnsi="Georgia"/>
          <w:color w:val="2E2926"/>
          <w:sz w:val="20"/>
          <w:szCs w:val="20"/>
        </w:rPr>
        <w:t xml:space="preserve">Paired outcome bars will compare single-agent execution, shared Git cooperation, the full team harness, and the team harness without protocol verbs. A duration distribution will show the accompanying execution-time overhead. Metrics will include both-feature pass rate, evaluated task count, missing evaluation rate, and recorded merge failures.</w:t>
      </w:r>
    </w:p>
    <w:p>
      <w:pPr>
        <w:widowControl/>
        <w:spacing w:after="150" w:before="0" w:line="336" w:lineRule="auto"/>
      </w:pPr>
      <w:r>
        <w:rPr>
          <w:rFonts w:ascii="Georgia" w:cs="Georgia" w:eastAsia="Georgia" w:hAnsi="Georgia"/>
          <w:color w:val="2E2926"/>
          <w:sz w:val="20"/>
          <w:szCs w:val="20"/>
        </w:rPr>
        <w:t xml:space="preserve">Business question: when did coordination improve task completion in the published study, and what additional execution time accompanied it? Results will be limited to the study’s deployment and harness. Zero-filled cost or token fields will not be presented as measured spending.</w:t>
      </w:r>
    </w:p>
    <w:p>
      <w:pPr>
        <w:pStyle w:val="Heading2"/>
        <w:keepNext/>
        <w:keepLines/>
        <w:spacing w:after="100" w:before="300"/>
      </w:pPr>
      <w:r>
        <w:rPr>
          <w:rFonts w:ascii="Georgia" w:cs="Georgia" w:eastAsia="Georgia" w:hAnsi="Georgia"/>
          <w:b/>
          <w:bCs/>
          <w:color w:val="744354"/>
          <w:sz w:val="24"/>
          <w:szCs w:val="24"/>
        </w:rPr>
        <w:t xml:space="preserve">Published capability over time</w:t>
      </w:r>
    </w:p>
    <w:p>
      <w:pPr>
        <w:widowControl/>
        <w:spacing w:after="150" w:before="0" w:line="336" w:lineRule="auto"/>
      </w:pPr>
      <w:r>
        <w:rPr>
          <w:rFonts w:ascii="Georgia" w:cs="Georgia" w:eastAsia="Georgia" w:hAnsi="Georgia"/>
          <w:color w:val="2E2926"/>
          <w:sz w:val="20"/>
          <w:szCs w:val="20"/>
        </w:rPr>
        <w:t xml:space="preserve">A timeline will show leading published results within a comparable evaluation series. Methodology changes and observation coverage will be made visible. Standard and style-controlled text will be available as separate series to inspect sensitivity to presentation style.</w:t>
      </w:r>
    </w:p>
    <w:p>
      <w:pPr>
        <w:widowControl/>
        <w:spacing w:after="150" w:before="0" w:line="336" w:lineRule="auto"/>
      </w:pPr>
      <w:r>
        <w:rPr>
          <w:rFonts w:ascii="Georgia" w:cs="Georgia" w:eastAsia="Georgia" w:hAnsi="Georgia"/>
          <w:color w:val="2E2926"/>
          <w:sz w:val="20"/>
          <w:szCs w:val="20"/>
        </w:rPr>
        <w:t xml:space="preserve">Business question: how has the published frontier changed, and are apparent gains supported by comparable evidence? Source links, measurement units, uncertainty where available, and matching coverage will help readers judge each comparison.</w:t>
      </w:r>
    </w:p>
    <w:p>
      <w:pPr>
        <w:pStyle w:val="Heading2"/>
        <w:keepNext/>
        <w:keepLines/>
        <w:spacing w:after="100" w:before="300"/>
      </w:pPr>
      <w:r>
        <w:rPr>
          <w:rFonts w:ascii="Georgia" w:cs="Georgia" w:eastAsia="Georgia" w:hAnsi="Georgia"/>
          <w:b/>
          <w:bCs/>
          <w:color w:val="744354"/>
          <w:sz w:val="24"/>
          <w:szCs w:val="24"/>
        </w:rPr>
        <w:t xml:space="preserve">Interpretation of cost estimates</w:t>
      </w:r>
    </w:p>
    <w:p>
      <w:pPr>
        <w:widowControl/>
        <w:spacing w:after="150" w:before="0" w:line="336" w:lineRule="auto"/>
      </w:pPr>
      <w:r>
        <w:rPr>
          <w:rFonts w:ascii="Georgia" w:cs="Georgia" w:eastAsia="Georgia" w:hAnsi="Georgia"/>
          <w:color w:val="2E2926"/>
          <w:sz w:val="20"/>
          <w:szCs w:val="20"/>
        </w:rPr>
        <w:t xml:space="preserve">Workload assumptions will be adjustable. Cached input and reasoning tokens will be included only when their billing semantics are known. Base estimates cover token expenditure; they exclude tools, retries, subscriptions, taxes, hardware, and migration effort. They will not be presented as actual agent-run bills or proof of production suitability.</w:t>
      </w:r>
    </w:p>
    <w:p>
      <w:pPr>
        <w:pStyle w:val="Heading1"/>
        <w:keepNext/>
        <w:keepLines/>
        <w:pBdr>
          <w:bottom w:val="single" w:color="B5593A" w:sz="8" w:space="6"/>
        </w:pBdr>
        <w:spacing w:after="200" w:before="520"/>
      </w:pPr>
      <w:r>
        <w:rPr>
          <w:rFonts w:ascii="Georgia" w:cs="Georgia" w:eastAsia="Georgia" w:hAnsi="Georgia"/>
          <w:b/>
          <w:bCs/>
          <w:color w:val="B5593A"/>
          <w:sz w:val="34"/>
          <w:szCs w:val="34"/>
        </w:rPr>
        <w:t xml:space="preserve">6</w:t>
      </w:r>
      <w:r>
        <w:rPr>
          <w:rFonts w:ascii="Georgia" w:cs="Georgia" w:eastAsia="Georgia" w:hAnsi="Georgia"/>
          <w:b/>
          <w:bCs/>
          <w:color w:val="2A2321"/>
          <w:sz w:val="34"/>
          <w:szCs w:val="34"/>
        </w:rPr>
        <w:t xml:space="preserve"> Engineering setup and FinOps</w:t>
      </w:r>
    </w:p>
    <w:p>
      <w:pPr>
        <w:pStyle w:val="Heading2"/>
        <w:keepNext/>
        <w:keepLines/>
        <w:spacing w:after="100" w:before="300"/>
      </w:pPr>
      <w:r>
        <w:rPr>
          <w:rFonts w:ascii="Georgia" w:cs="Georgia" w:eastAsia="Georgia" w:hAnsi="Georgia"/>
          <w:b/>
          <w:bCs/>
          <w:color w:val="744354"/>
          <w:sz w:val="24"/>
          <w:szCs w:val="24"/>
        </w:rPr>
        <w:t xml:space="preserve">Infrastructure</w:t>
      </w:r>
    </w:p>
    <w:p>
      <w:pPr>
        <w:widowControl/>
        <w:spacing w:after="150" w:before="0" w:line="336" w:lineRule="auto"/>
      </w:pPr>
      <w:r>
        <w:rPr>
          <w:rFonts w:ascii="Georgia" w:cs="Georgia" w:eastAsia="Georgia" w:hAnsi="Georgia"/>
          <w:color w:val="2E2926"/>
          <w:sz w:val="20"/>
          <w:szCs w:val="20"/>
        </w:rPr>
        <w:t xml:space="preserve">Databricks Free Edition is the proposed cloud environment for Apache Spark processing and Delta lakehouse storage. Collection will acquire public source files, and Spark will perform Bronze, Silver, and Gold transformations. The primary plan requires no GPU, paid inference API, or paid benchmark execution.</w:t>
      </w:r>
    </w:p>
    <w:p>
      <w:pPr>
        <w:spacing w:after="220" w:before="0"/>
        <w:ind w:left="200"/>
      </w:pPr>
      <w:hyperlink w:history="1" r:id="rIds5y4yzkxur2fsknftkish">
        <w:r>
          <w:rPr>
            <w:rFonts w:ascii="Trebuchet MS" w:cs="Trebuchet MS" w:eastAsia="Trebuchet MS" w:hAnsi="Trebuchet MS"/>
            <w:color w:val="8A3A32"/>
            <w:sz w:val="18"/>
            <w:szCs w:val="18"/>
            <w:u w:val="single" w:color="D9B8AE"/>
          </w:rPr>
          <w:t xml:space="preserve">Databricks Free Edition limitations</w:t>
        </w:r>
      </w:hyperlink>
    </w:p>
    <w:p>
      <w:pPr>
        <w:widowControl/>
        <w:spacing w:after="150" w:before="0" w:line="336" w:lineRule="auto"/>
      </w:pPr>
      <w:r>
        <w:rPr>
          <w:rFonts w:ascii="Georgia" w:cs="Georgia" w:eastAsia="Georgia" w:hAnsi="Georgia"/>
          <w:color w:val="2E2926"/>
          <w:sz w:val="20"/>
          <w:szCs w:val="20"/>
        </w:rPr>
        <w:t xml:space="preserve">Source access and dashboard availability will be tested against the workspace’s compute quotas and network restrictions. If direct extraction is blocked, an automated local collector will stage validated downloads and upload batches through a supported authenticated route. Azure with existing student credits is a fallback only if spending controls prevent charges.</w:t>
      </w:r>
    </w:p>
    <w:p>
      <w:pPr>
        <w:pStyle w:val="Heading2"/>
        <w:keepNext/>
        <w:keepLines/>
        <w:spacing w:after="100" w:before="300"/>
      </w:pPr>
      <w:r>
        <w:rPr>
          <w:rFonts w:ascii="Georgia" w:cs="Georgia" w:eastAsia="Georgia" w:hAnsi="Georgia"/>
          <w:b/>
          <w:bCs/>
          <w:color w:val="744354"/>
          <w:sz w:val="24"/>
          <w:szCs w:val="24"/>
        </w:rPr>
        <w:t xml:space="preserve">Version control and project materials</w:t>
      </w:r>
    </w:p>
    <w:p>
      <w:pPr>
        <w:spacing w:after="220" w:before="0"/>
        <w:ind w:left="200"/>
      </w:pPr>
      <w:hyperlink w:history="1" r:id="rIdyxh4fko_gs4owxumrqqs6">
        <w:r>
          <w:rPr>
            <w:rFonts w:ascii="Trebuchet MS" w:cs="Trebuchet MS" w:eastAsia="Trebuchet MS" w:hAnsi="Trebuchet MS"/>
            <w:color w:val="8A3A32"/>
            <w:sz w:val="18"/>
            <w:szCs w:val="18"/>
            <w:u w:val="single" w:color="D9B8AE"/>
          </w:rPr>
          <w:t xml:space="preserve">https://github.com/aliamirchoudhary/Frontier-AI-Observability</w:t>
        </w:r>
      </w:hyperlink>
    </w:p>
    <w:p>
      <w:pPr>
        <w:widowControl/>
        <w:spacing w:after="150" w:before="0" w:line="336" w:lineRule="auto"/>
      </w:pPr>
      <w:r>
        <w:rPr>
          <w:rFonts w:ascii="Georgia" w:cs="Georgia" w:eastAsia="Georgia" w:hAnsi="Georgia"/>
          <w:color w:val="2E2926"/>
          <w:sz w:val="20"/>
          <w:szCs w:val="20"/>
        </w:rPr>
        <w:t xml:space="preserve">GitHub will hold the proposal, README, source registry, small full-load and incremental samples, sample manifest, and data notices. The proposal will be placed in the proposals folder. Pipeline notebooks and scripts will be committed as development proceeds, keeping the documented scope aligned with the implementation.</w:t>
      </w:r>
    </w:p>
    <w:p>
      <w:pPr>
        <w:widowControl/>
        <w:spacing w:after="150" w:before="0" w:line="336" w:lineRule="auto"/>
      </w:pPr>
      <w:r>
        <w:rPr>
          <w:rFonts w:ascii="Georgia" w:cs="Georgia" w:eastAsia="Georgia" w:hAnsi="Georgia"/>
          <w:color w:val="2E2926"/>
          <w:sz w:val="20"/>
          <w:szCs w:val="20"/>
        </w:rPr>
        <w:t xml:space="preserve">Complete histories, compressed study archives, restricted Epoch data, credentials, and temporary exports will remain outside version control. Source references and checksums will allow the ingestion inputs to be identified without placing large or sensitive payloads in the repository.</w:t>
      </w:r>
    </w:p>
    <w:p>
      <w:pPr>
        <w:pStyle w:val="Heading2"/>
        <w:keepNext/>
        <w:keepLines/>
        <w:spacing w:after="100" w:before="300"/>
      </w:pPr>
      <w:r>
        <w:rPr>
          <w:rFonts w:ascii="Georgia" w:cs="Georgia" w:eastAsia="Georgia" w:hAnsi="Georgia"/>
          <w:b/>
          <w:bCs/>
          <w:color w:val="744354"/>
          <w:sz w:val="24"/>
          <w:szCs w:val="24"/>
        </w:rPr>
        <w:t xml:space="preserve">Data volume and compute controls</w:t>
      </w:r>
    </w:p>
    <w:p>
      <w:pPr>
        <w:widowControl/>
        <w:spacing w:after="150" w:before="0" w:line="336" w:lineRule="auto"/>
      </w:pPr>
      <w:r>
        <w:rPr>
          <w:rFonts w:ascii="Georgia" w:cs="Georgia" w:eastAsia="Georgia" w:hAnsi="Georgia"/>
          <w:color w:val="2E2926"/>
          <w:sz w:val="20"/>
          <w:szCs w:val="20"/>
        </w:rPr>
        <w:t xml:space="preserve">Development and validation will begin with representative samples. The approximately 227 MB full acquisition will be processed after the source contracts and cleaning rules are checked. Daily revision checks and weekly processing will avoid continuous compute use. Unchanged files will be skipped, and routine transformations will process affected observations only.</w:t>
      </w:r>
    </w:p>
    <w:p>
      <w:pPr>
        <w:widowControl/>
        <w:spacing w:after="150" w:before="0" w:line="336" w:lineRule="auto"/>
      </w:pPr>
      <w:r>
        <w:rPr>
          <w:rFonts w:ascii="Georgia" w:cs="Georgia" w:eastAsia="Georgia" w:hAnsi="Georgia"/>
          <w:color w:val="2E2926"/>
          <w:sz w:val="20"/>
          <w:szCs w:val="20"/>
        </w:rPr>
        <w:t xml:space="preserve">Downloaded bytes, storage usage, record counts, and runtime will be monitored. A 3 GB working-storage target allows room for extracted files, Delta tables, and rejected records; it is an internal planning allowance rather than a provider guarantee. Temporary extracts will be removed after successful ingestion, with original archives retained for reproducibility.</w:t>
      </w:r>
    </w:p>
    <w:p>
      <w:pPr>
        <w:widowControl/>
        <w:spacing w:after="150" w:before="0" w:line="336" w:lineRule="auto"/>
      </w:pPr>
      <w:r>
        <w:rPr>
          <w:rFonts w:ascii="Georgia" w:cs="Georgia" w:eastAsia="Georgia" w:hAnsi="Georgia"/>
          <w:color w:val="2E2926"/>
          <w:sz w:val="20"/>
          <w:szCs w:val="20"/>
        </w:rPr>
        <w:t xml:space="preserve">Jobs will use bounded retries and execution time. Small reference tables will avoid unnecessary partitioning. Optional refreshes will wait if the free compute allowance is exhausted. Development will remain within free resources, with no billing-enabled service required by the primary plan.</w:t>
      </w:r>
    </w:p>
    <w:sectPr>
      <w:pgSz w:w="12240" w:h="15840" w:orient="portrait"/>
      <w:pgMar w:top="13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9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2A2321"/>
      <w:sz w:val="34"/>
      <w:szCs w:val="34"/>
    </w:rPr>
  </w:style>
  <w:style w:type="paragraph" w:styleId="Heading2">
    <w:name w:val="Heading 2"/>
    <w:basedOn w:val="Normal"/>
    <w:next w:val="Normal"/>
    <w:qFormat/>
    <w:pPr>
      <w:outlineLvl w:val="1"/>
    </w:pPr>
    <w:rPr>
      <w:rFonts w:ascii="Georgia" w:cs="Georgia" w:eastAsia="Georgia" w:hAnsi="Georgia"/>
      <w:b/>
      <w:bCs/>
      <w:color w:val="7443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wzymzsy0_rx9_xvnnxwr" Type="http://schemas.openxmlformats.org/officeDocument/2006/relationships/hyperlink" Target="https://github.com/aliamirchoudhary/Frontier-AI-Observability" TargetMode="External"/><Relationship Id="rIddcb1jiztgpwfj6efcirqy" Type="http://schemas.openxmlformats.org/officeDocument/2006/relationships/hyperlink" Target="https://huggingface.co/datasets/lmarena-ai/leaderboard-dataset" TargetMode="External"/><Relationship Id="rIdjlwyjfs3yh2rdfj_6c0uk" Type="http://schemas.openxmlformats.org/officeDocument/2006/relationships/hyperlink" Target="https://huggingface.co/datasets/lmarena-ai/leaderboard-dataset/resolve/7d2d9009b2ba84383deb6f1b70e66f85b7cda4e7/text/full-00000-of-00001.parquet" TargetMode="External"/><Relationship Id="rIdn-yy4m5trlcvhfb8caahs" Type="http://schemas.openxmlformats.org/officeDocument/2006/relationships/hyperlink" Target="https://huggingface.co/datasets/lmarena-ai/leaderboard-dataset/resolve/7d2d9009b2ba84383deb6f1b70e66f85b7cda4e7/text_style_control/full-00000-of-00001.parquet" TargetMode="External"/><Relationship Id="rIdo1io0wyvrxvuqhawnwhkq" Type="http://schemas.openxmlformats.org/officeDocument/2006/relationships/hyperlink" Target="https://huggingface.co/datasets/lmarena-ai/leaderboard-dataset/resolve/7d2d9009b2ba84383deb6f1b70e66f85b7cda4e7/webdev/full-00000-of-00001.parquet" TargetMode="External"/><Relationship Id="rId0kgywyv3w4v7euphsnsvo" Type="http://schemas.openxmlformats.org/officeDocument/2006/relationships/hyperlink" Target="https://huggingface.co/datasets/lmarena-ai/leaderboard-dataset/resolve/7d2d9009b2ba84383deb6f1b70e66f85b7cda4e7/agent/full-00000-of-00001.parquet" TargetMode="External"/><Relationship Id="rIdmnacwuhh4uegdfs1nxove" Type="http://schemas.openxmlformats.org/officeDocument/2006/relationships/hyperlink" Target="https://huggingface.co/datasets/CooperBench/team-trajectories" TargetMode="External"/><Relationship Id="rIdecht6dso818cuvrf5ujfu" Type="http://schemas.openxmlformats.org/officeDocument/2006/relationships/hyperlink" Target="https://huggingface.co/datasets/CooperBench/team-trajectories/resolve/dd371629174a226ecd251672af315699b77de05d/cmp-full-solo.tar.gz" TargetMode="External"/><Relationship Id="rIdjtbf_ugkwuluiuwbofjod" Type="http://schemas.openxmlformats.org/officeDocument/2006/relationships/hyperlink" Target="https://huggingface.co/datasets/CooperBench/team-trajectories/resolve/dd371629174a226ecd251672af315699b77de05d/cmp-full-coopgit.tar.gz" TargetMode="External"/><Relationship Id="rIdy5e-9_b5aimdsqz_i7rnh" Type="http://schemas.openxmlformats.org/officeDocument/2006/relationships/hyperlink" Target="https://huggingface.co/datasets/CooperBench/team-trajectories/resolve/dd371629174a226ecd251672af315699b77de05d/cmp-full-team.tar.gz" TargetMode="External"/><Relationship Id="rIdkoeqrbae1d9wg7dzfp1_s" Type="http://schemas.openxmlformats.org/officeDocument/2006/relationships/hyperlink" Target="https://huggingface.co/datasets/CooperBench/team-trajectories/resolve/dd371629174a226ecd251672af315699b77de05d/cmp-full-team-noproto.tar.gz" TargetMode="External"/><Relationship Id="rIdbmk-xpm0livfojxmswrqx" Type="http://schemas.openxmlformats.org/officeDocument/2006/relationships/hyperlink" Target="https://benchlm.ai/data/models.json" TargetMode="External"/><Relationship Id="rIduecpj51boagpecflziigs" Type="http://schemas.openxmlformats.org/officeDocument/2006/relationships/hyperlink" Target="https://benchlm.ai/data/benchmarks.json" TargetMode="External"/><Relationship Id="rIdr0s8suslm2wyykjztgdo_" Type="http://schemas.openxmlformats.org/officeDocument/2006/relationships/hyperlink" Target="https://benchlm.ai/data/pricing.json" TargetMode="External"/><Relationship Id="rIdcge2p_ejdncbooxkwxakf" Type="http://schemas.openxmlformats.org/officeDocument/2006/relationships/hyperlink" Target="https://benchlm.ai/data" TargetMode="External"/><Relationship Id="rIdacarlzh25dynuoavwjj7b" Type="http://schemas.openxmlformats.org/officeDocument/2006/relationships/hyperlink" Target="https://epoch.ai/data/all_ai_models.csv" TargetMode="External"/><Relationship Id="rIdhjqdi_auwkc0z0n6b90k2" Type="http://schemas.openxmlformats.org/officeDocument/2006/relationships/hyperlink" Target="https://epoch.ai/data/ai-models" TargetMode="External"/><Relationship Id="rIdvnalwh9l3vtc4omzzcz2x" Type="http://schemas.openxmlformats.org/officeDocument/2006/relationships/hyperlink" Target="https://epoch.ai/data/ai-models-documentation/database-updates" TargetMode="External"/><Relationship Id="rIds5y4yzkxur2fsknftkish" Type="http://schemas.openxmlformats.org/officeDocument/2006/relationships/hyperlink" Target="https://docs.databricks.com/aws/en/getting-started/free-edition-limitations" TargetMode="External"/><Relationship Id="rIdyxh4fko_gs4owxumrqqs6" Type="http://schemas.openxmlformats.org/officeDocument/2006/relationships/hyperlink" Target="https://github.com/aliamirchoudhary/Frontier-AI-Observability"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AI Observatory Proposal</dc:title>
  <dc:subject>Data platform proposal</dc:subject>
  <dc:creator>Muhammad Ali Aamir and Muhammad Zohaib</dc:creator>
  <cp:lastModifiedBy>Un-named</cp:lastModifiedBy>
  <cp:revision>1</cp:revision>
  <dcterms:created xsi:type="dcterms:W3CDTF">2026-10-03T19:26:33.905Z</dcterms:created>
  <dcterms:modified xsi:type="dcterms:W3CDTF">2026-10-03T19:26:33.905Z</dcterms:modified>
</cp:coreProperties>
</file>

<file path=docProps/custom.xml><?xml version="1.0" encoding="utf-8"?>
<Properties xmlns="http://schemas.openxmlformats.org/officeDocument/2006/custom-properties" xmlns:vt="http://schemas.openxmlformats.org/officeDocument/2006/docPropsVTypes"/>
</file>