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Frontier AI Observatory</w:t>
      </w:r>
    </w:p>
    <w:p>
      <w:pPr>
        <w:pStyle w:val="Subtitle"/>
        <w:rPr/>
      </w:pPr>
      <w:r>
        <w:rPr/>
        <w:t>Project proposal</w:t>
      </w:r>
    </w:p>
    <w:p>
      <w:pPr>
        <w:pStyle w:val="Normal"/>
        <w:rPr/>
      </w:pPr>
      <w:r>
        <w:rPr/>
        <w:t>Muhammad Ali Aamir (24L-2558)</w:t>
        <w:br/>
        <w:t>Muhammad Zohaib (24L-2530)</w:t>
      </w:r>
    </w:p>
    <w:p>
      <w:pPr>
        <w:pStyle w:val="Normal"/>
        <w:rPr/>
      </w:pPr>
      <w:r>
        <w:rPr/>
      </w:r>
    </w:p>
    <w:p>
      <w:pPr>
        <w:pStyle w:val="Heading2"/>
        <w:rPr/>
      </w:pPr>
      <w:r>
        <w:rPr/>
        <w:t>Purpose and scope</w:t>
      </w:r>
    </w:p>
    <w:p>
      <w:pPr>
        <w:pStyle w:val="Normal"/>
        <w:rPr/>
      </w:pPr>
      <w:r>
        <w:rPr/>
        <w:t>We propose an automated data platform for comparing published AI model evaluations, tracking model releases, and estimating API costs. The platform will bring these records into an Apache Spark lakehouse and present them through a business intelligence dashboard.</w:t>
      </w:r>
    </w:p>
    <w:p>
      <w:pPr>
        <w:pStyle w:val="Normal"/>
        <w:rPr/>
      </w:pPr>
      <w:r>
        <w:rPr/>
        <w:t>Selecting a model currently requires checking several sources that use different names, evaluation methods, and pricing units. A strong benchmark result alone may say little about cost or suitability for a particular workload. Our aim is to make those comparisons easier to inspect and reproduce, with the original source and observation date available alongside each result.</w:t>
      </w:r>
    </w:p>
    <w:p>
      <w:pPr>
        <w:pStyle w:val="Normal"/>
        <w:rPr/>
      </w:pPr>
      <w:r>
        <w:rPr/>
        <w:t>The initial scope covers text models, web development evaluations, and a separate set of agent evaluations. It will use published data rather than run paid model tests. The proposed pipeline follows the Medallion Architecture: Bronze retains source records, Silver produces validated data, and Gold organizes that data for analysis.</w:t>
      </w:r>
    </w:p>
    <w:p>
      <w:pPr>
        <w:pStyle w:val="Heading2"/>
        <w:rPr/>
      </w:pPr>
      <w:r>
        <w:rPr/>
        <w:t>Selected data sources</w:t>
      </w:r>
    </w:p>
    <w:p>
      <w:pPr>
        <w:pStyle w:val="Normal"/>
        <w:rPr/>
      </w:pPr>
      <w:r>
        <w:rPr/>
        <w:t>Arena will supply the historical evaluation baseline. BenchLM will add benchmark definitions, model metadata, and pricing observations. Epoch AI will contribute model release and development metadata. Each source remains useful on its own when an exact model match across sources cannot be established.</w:t>
      </w:r>
    </w:p>
    <w:p>
      <w:pPr>
        <w:pStyle w:val="Normal"/>
        <w:rPr/>
      </w:pPr>
      <w:r>
        <w:rPr/>
        <w:t>The first source review and downloads are complete. The selected Arena files contain more than one million observations, and the combined source downloads total approximately 62.5 MB. Representative full-load and incremental samples accompany this proposal.</w:t>
      </w:r>
    </w:p>
    <w:p>
      <w:pPr>
        <w:pStyle w:val="Heading2"/>
        <w:rPr/>
      </w:pPr>
      <w:r>
        <w:rPr/>
        <w:t>What the analysis will support</w:t>
      </w:r>
    </w:p>
    <w:p>
      <w:pPr>
        <w:pStyle w:val="Normal"/>
        <w:rPr/>
      </w:pPr>
      <w:r>
        <w:rPr/>
        <w:t>The dashboard will help developers shortlist models for a stated workload and help researchers examine changes in published evidence. It will distinguish benchmark results from preference ratings and agent signals. Cost estimates will describe token expenditure under explicit assumptions; they will not claim to measure every cost of adopting a model.</w:t>
      </w:r>
      <w:r>
        <w:br w:type="page"/>
      </w:r>
    </w:p>
    <w:p>
      <w:pPr>
        <w:pStyle w:val="Heading1"/>
        <w:rPr/>
      </w:pPr>
      <w:r>
        <w:rPr/>
        <w:t>1 Domain and source identification</w:t>
      </w:r>
    </w:p>
    <w:p>
      <w:pPr>
        <w:pStyle w:val="Normal"/>
        <w:rPr/>
      </w:pPr>
      <w:r>
        <w:rPr/>
        <w:t>The domain is AI model evaluation and cost analytics. We will ingest public data exports directly, preserving their source revisions, retrieval times, and licence information. The source references below are clickable and point to the exact datasets or endpoints.</w:t>
      </w:r>
    </w:p>
    <w:p>
      <w:pPr>
        <w:pStyle w:val="Heading2"/>
        <w:rPr/>
      </w:pPr>
      <w:r>
        <w:rPr/>
        <w:t>Arena historical evaluation data</w:t>
      </w:r>
    </w:p>
    <w:p>
      <w:pPr>
        <w:pStyle w:val="Normal"/>
        <w:spacing w:before="0" w:after="100"/>
        <w:rPr/>
      </w:pPr>
      <w:hyperlink r:id="rId2">
        <w:r>
          <w:rPr>
            <w:rStyle w:val="Style"/>
            <w:color w:val="704A34"/>
            <w:u w:val="single"/>
          </w:rPr>
          <w:t>Arena leaderboard dataset</w:t>
        </w:r>
      </w:hyperlink>
    </w:p>
    <w:p>
      <w:pPr>
        <w:pStyle w:val="Normal"/>
        <w:spacing w:before="0" w:after="100"/>
        <w:rPr/>
      </w:pPr>
      <w:hyperlink r:id="rId3">
        <w:r>
          <w:rPr>
            <w:rStyle w:val="Style"/>
            <w:color w:val="704A34"/>
            <w:u w:val="single"/>
          </w:rPr>
          <w:t>Dataset revision API</w:t>
        </w:r>
      </w:hyperlink>
    </w:p>
    <w:p>
      <w:pPr>
        <w:pStyle w:val="Normal"/>
        <w:spacing w:before="0" w:after="100"/>
        <w:rPr/>
      </w:pPr>
      <w:hyperlink r:id="rId4">
        <w:r>
          <w:rPr>
            <w:rStyle w:val="Style"/>
            <w:color w:val="704A34"/>
            <w:u w:val="single"/>
          </w:rPr>
          <w:t>Pinned text history Parquet file</w:t>
        </w:r>
      </w:hyperlink>
    </w:p>
    <w:p>
      <w:pPr>
        <w:pStyle w:val="Normal"/>
        <w:spacing w:before="0" w:after="100"/>
        <w:rPr/>
      </w:pPr>
      <w:hyperlink r:id="rId5">
        <w:r>
          <w:rPr>
            <w:rStyle w:val="Style"/>
            <w:color w:val="704A34"/>
            <w:u w:val="single"/>
          </w:rPr>
          <w:t>Pinned subsequent text publication Parquet file</w:t>
        </w:r>
      </w:hyperlink>
    </w:p>
    <w:p>
      <w:pPr>
        <w:pStyle w:val="Normal"/>
        <w:rPr/>
      </w:pPr>
      <w:r>
        <w:rPr/>
        <w:t>The full load will read the complete histories for style-controlled text, web development, and agent evaluations. In the downloaded files, their earliest publication dates are 28 August 2024, 12 November 2025, and 4 June 2026 respectively. The dataset is labelled CC BY 4.0.</w:t>
      </w:r>
    </w:p>
    <w:p>
      <w:pPr>
        <w:pStyle w:val="Normal"/>
        <w:rPr/>
      </w:pPr>
      <w:r>
        <w:rPr/>
        <w:t>Daily polling will resolve the current dataset revision and fetch its latest publications. A weekly comparison against the full histories will catch older corrections and publications missed between polls. A revised file will only change analytical records whose content has changed.</w:t>
      </w:r>
    </w:p>
    <w:p>
      <w:pPr>
        <w:pStyle w:val="Heading2"/>
        <w:rPr/>
      </w:pPr>
      <w:r>
        <w:rPr/>
        <w:t>BenchLM model benchmark and pricing exports</w:t>
      </w:r>
    </w:p>
    <w:p>
      <w:pPr>
        <w:pStyle w:val="Normal"/>
        <w:spacing w:before="0" w:after="100"/>
        <w:rPr/>
      </w:pPr>
      <w:hyperlink r:id="rId6">
        <w:r>
          <w:rPr>
            <w:rStyle w:val="Style"/>
            <w:color w:val="704A34"/>
            <w:u w:val="single"/>
          </w:rPr>
          <w:t>https://benchlm.ai/data/models.json</w:t>
        </w:r>
      </w:hyperlink>
    </w:p>
    <w:p>
      <w:pPr>
        <w:pStyle w:val="Normal"/>
        <w:spacing w:before="0" w:after="100"/>
        <w:rPr/>
      </w:pPr>
      <w:hyperlink r:id="rId7">
        <w:r>
          <w:rPr>
            <w:rStyle w:val="Style"/>
            <w:color w:val="704A34"/>
            <w:u w:val="single"/>
          </w:rPr>
          <w:t>https://benchlm.ai/data/benchmarks.json</w:t>
        </w:r>
      </w:hyperlink>
    </w:p>
    <w:p>
      <w:pPr>
        <w:pStyle w:val="Normal"/>
        <w:spacing w:before="0" w:after="100"/>
        <w:rPr/>
      </w:pPr>
      <w:hyperlink r:id="rId8">
        <w:r>
          <w:rPr>
            <w:rStyle w:val="Style"/>
            <w:color w:val="704A34"/>
            <w:u w:val="single"/>
          </w:rPr>
          <w:t>https://benchlm.ai/data/pricing.json</w:t>
        </w:r>
      </w:hyperlink>
    </w:p>
    <w:p>
      <w:pPr>
        <w:pStyle w:val="Normal"/>
        <w:spacing w:before="0" w:after="100"/>
        <w:rPr/>
      </w:pPr>
      <w:hyperlink r:id="rId9">
        <w:r>
          <w:rPr>
            <w:rStyle w:val="Style"/>
            <w:color w:val="704A34"/>
            <w:u w:val="single"/>
          </w:rPr>
          <w:t>Export documentation and licence</w:t>
        </w:r>
      </w:hyperlink>
    </w:p>
    <w:p>
      <w:pPr>
        <w:pStyle w:val="Normal"/>
        <w:rPr/>
      </w:pPr>
      <w:r>
        <w:rPr/>
        <w:t>An initial download will establish the current catalog. Later snapshots will be compared by source identifiers and content to find new or changed items. Build timestamps and provenance will be retained. These exports do not guarantee historical pricing or a stream of individual changes, so price history will begin with our own observations. BenchLM permits noncommercial reuse under CC BY-NC 4.0.</w:t>
      </w:r>
    </w:p>
    <w:p>
      <w:pPr>
        <w:pStyle w:val="Heading2"/>
        <w:rPr/>
      </w:pPr>
      <w:r>
        <w:rPr/>
        <w:t>Epoch AI model release and development data</w:t>
      </w:r>
    </w:p>
    <w:p>
      <w:pPr>
        <w:pStyle w:val="Normal"/>
        <w:spacing w:before="0" w:after="100"/>
        <w:rPr/>
      </w:pPr>
      <w:hyperlink r:id="rId10">
        <w:r>
          <w:rPr>
            <w:rStyle w:val="Style"/>
            <w:color w:val="704A34"/>
            <w:u w:val="single"/>
          </w:rPr>
          <w:t>All AI models CSV export</w:t>
        </w:r>
      </w:hyperlink>
    </w:p>
    <w:p>
      <w:pPr>
        <w:pStyle w:val="Normal"/>
        <w:spacing w:before="0" w:after="100"/>
        <w:rPr/>
      </w:pPr>
      <w:hyperlink r:id="rId11">
        <w:r>
          <w:rPr>
            <w:rStyle w:val="Style"/>
            <w:color w:val="704A34"/>
            <w:u w:val="single"/>
          </w:rPr>
          <w:t>Dataset documentation and attribution</w:t>
        </w:r>
      </w:hyperlink>
    </w:p>
    <w:p>
      <w:pPr>
        <w:pStyle w:val="Normal"/>
        <w:spacing w:before="0" w:after="100"/>
        <w:rPr/>
      </w:pPr>
      <w:hyperlink r:id="rId12">
        <w:r>
          <w:rPr>
            <w:rStyle w:val="Style"/>
            <w:color w:val="704A34"/>
            <w:u w:val="single"/>
          </w:rPr>
          <w:t>Daily update documentation</w:t>
        </w:r>
      </w:hyperlink>
    </w:p>
    <w:p>
      <w:pPr>
        <w:pStyle w:val="Normal"/>
        <w:rPr/>
      </w:pPr>
      <w:r>
        <w:rPr/>
        <w:t>The initial CSV supplies historical model records. Daily snapshot comparisons will identify additions and metadata changes. Epoch documents daily refreshes and requests attribution. Historical release dates do not reconstruct earlier values of every metadata field.</w:t>
      </w:r>
      <w:r>
        <w:br w:type="page"/>
      </w:r>
    </w:p>
    <w:p>
      <w:pPr>
        <w:pStyle w:val="Heading1"/>
        <w:rPr/>
      </w:pPr>
      <w:r>
        <w:rPr/>
        <w:t>Source selection and change handling</w:t>
      </w:r>
    </w:p>
    <w:p>
      <w:pPr>
        <w:pStyle w:val="Normal"/>
        <w:rPr/>
      </w:pPr>
      <w:r>
        <w:rPr/>
        <w:t>The three selected sources provide the historical volume, current observations, and release context needed for the proposed analysis. Their documentation and reuse conditions were checked on 1 October 2026. Sources may change, so each acquisition will retain its revision or build identifier and a file checksum.</w:t>
      </w:r>
    </w:p>
    <w:p>
      <w:pPr>
        <w:pStyle w:val="Heading2"/>
        <w:rPr/>
      </w:pPr>
      <w:r>
        <w:rPr/>
        <w:t>Other sources considered</w:t>
      </w:r>
    </w:p>
    <w:p>
      <w:pPr>
        <w:pStyle w:val="Normal"/>
        <w:rPr/>
      </w:pPr>
      <w:r>
        <w:rPr/>
        <w:t>Artificial Analysis is excluded from the required public data package because its free API specifies internal use and restricts redistribution. This would conflict with publishing raw samples in the repository.</w:t>
      </w:r>
    </w:p>
    <w:p>
      <w:pPr>
        <w:pStyle w:val="Normal"/>
        <w:spacing w:before="0" w:after="100"/>
        <w:rPr/>
      </w:pPr>
      <w:hyperlink r:id="rId13">
        <w:r>
          <w:rPr>
            <w:rStyle w:val="Style"/>
            <w:color w:val="704A34"/>
            <w:u w:val="single"/>
          </w:rPr>
          <w:t>Artificial Analysis API access conditions</w:t>
        </w:r>
      </w:hyperlink>
    </w:p>
    <w:p>
      <w:pPr>
        <w:pStyle w:val="Normal"/>
        <w:rPr/>
      </w:pPr>
      <w:r>
        <w:rPr/>
        <w:t>The older Hugging Face Open LLM Leaderboard is archived. It may offer historical context, but it will not drive incremental ingestion. The OpenEvals aggregate dataset lists only 105 examples, making it too small to serve as the main dataset.</w:t>
      </w:r>
    </w:p>
    <w:p>
      <w:pPr>
        <w:pStyle w:val="Normal"/>
        <w:spacing w:before="0" w:after="100"/>
        <w:rPr/>
      </w:pPr>
      <w:hyperlink r:id="rId14">
        <w:r>
          <w:rPr>
            <w:rStyle w:val="Style"/>
            <w:color w:val="704A34"/>
            <w:u w:val="single"/>
          </w:rPr>
          <w:t>Archived Open LLM Leaderboard collection</w:t>
        </w:r>
      </w:hyperlink>
    </w:p>
    <w:p>
      <w:pPr>
        <w:pStyle w:val="Normal"/>
        <w:spacing w:before="0" w:after="100"/>
        <w:rPr/>
      </w:pPr>
      <w:hyperlink r:id="rId15">
        <w:r>
          <w:rPr>
            <w:rStyle w:val="Style"/>
            <w:color w:val="704A34"/>
            <w:u w:val="single"/>
          </w:rPr>
          <w:t>OpenEvals aggregate dataset</w:t>
        </w:r>
      </w:hyperlink>
    </w:p>
    <w:p>
      <w:pPr>
        <w:pStyle w:val="Normal"/>
        <w:rPr/>
      </w:pPr>
      <w:r>
        <w:rPr/>
        <w:t>SWE-bench experiment artifacts are a possible later addition for analysis of coding tasks. Their access conditions and individual licences need review before ingestion. OpenRouter is also a possible pricing validation source, but its current documentation and terms do not establish the open redistribution rights needed for our public samples. Neither source is required for the initial pipeline.</w:t>
      </w:r>
    </w:p>
    <w:p>
      <w:pPr>
        <w:pStyle w:val="Normal"/>
        <w:spacing w:before="0" w:after="100"/>
        <w:rPr/>
      </w:pPr>
      <w:hyperlink r:id="rId16">
        <w:r>
          <w:rPr>
            <w:rStyle w:val="Style"/>
            <w:color w:val="704A34"/>
            <w:u w:val="single"/>
          </w:rPr>
          <w:t>SWE-bench experiment repository</w:t>
        </w:r>
      </w:hyperlink>
    </w:p>
    <w:p>
      <w:pPr>
        <w:pStyle w:val="Normal"/>
        <w:spacing w:before="0" w:after="100"/>
        <w:rPr/>
      </w:pPr>
      <w:hyperlink r:id="rId17">
        <w:r>
          <w:rPr>
            <w:rStyle w:val="Style"/>
            <w:color w:val="704A34"/>
            <w:u w:val="single"/>
          </w:rPr>
          <w:t>OpenRouter model catalog documentation</w:t>
        </w:r>
      </w:hyperlink>
    </w:p>
    <w:p>
      <w:pPr>
        <w:pStyle w:val="Normal"/>
        <w:spacing w:before="0" w:after="100"/>
        <w:rPr/>
      </w:pPr>
      <w:hyperlink r:id="rId18">
        <w:r>
          <w:rPr>
            <w:rStyle w:val="Style"/>
            <w:color w:val="704A34"/>
            <w:u w:val="single"/>
          </w:rPr>
          <w:t>OpenRouter terms</w:t>
        </w:r>
      </w:hyperlink>
    </w:p>
    <w:p>
      <w:pPr>
        <w:pStyle w:val="Heading2"/>
        <w:rPr/>
      </w:pPr>
      <w:r>
        <w:rPr/>
        <w:t>Incremental loads and unavailable records</w:t>
      </w:r>
    </w:p>
    <w:p>
      <w:pPr>
        <w:pStyle w:val="Normal"/>
        <w:rPr/>
      </w:pPr>
      <w:r>
        <w:rPr/>
        <w:t>A daily schedule means that we check for changes each day. It does not imply that every source publishes new data daily. Files with unchanged checksums will be recorded as checked without creating another copy or rewriting their analytical rows.</w:t>
      </w:r>
    </w:p>
    <w:p>
      <w:pPr>
        <w:pStyle w:val="Normal"/>
        <w:rPr/>
      </w:pPr>
      <w:r>
        <w:rPr/>
        <w:t>Snapshot comparisons will identify additions and updates. An item missing from a complete snapshot will be marked unavailable only after a second successful observation confirms its absence. Earlier records will remain available for historical analysis. A failed or incomplete download cannot trigger removals.</w:t>
      </w:r>
    </w:p>
    <w:p>
      <w:pPr>
        <w:pStyle w:val="Normal"/>
        <w:rPr/>
      </w:pPr>
      <w:r>
        <w:rPr/>
        <w:t>Model names will be matched conservatively. Versions, reasoning settings, evaluation harnesses, and deployment modes must agree before results and prices are combined. Unmatched records will remain visible in source-specific views, and the dashboard will report how much data could be joined.</w:t>
      </w:r>
      <w:r>
        <w:br w:type="page"/>
      </w:r>
    </w:p>
    <w:p>
      <w:pPr>
        <w:pStyle w:val="Heading1"/>
        <w:rPr/>
      </w:pPr>
      <w:r>
        <w:rPr/>
        <w:t>2 Data samples and expected volume</w:t>
      </w:r>
    </w:p>
    <w:p>
      <w:pPr>
        <w:pStyle w:val="Normal"/>
        <w:rPr/>
      </w:pPr>
      <w:r>
        <w:rPr/>
        <w:t>The accompanying data package contains Parquet samples for a historical full load and a subsequent publication. The source values and physical data types are unchanged; only rows have been selected. The full-load files are representative samples of the larger baseline, not copies of the entire history.</w:t>
      </w:r>
    </w:p>
    <w:tbl>
      <w:tblPr>
        <w:tblW w:w="9792" w:type="dxa"/>
        <w:jc w:val="center"/>
        <w:tblInd w:w="0" w:type="dxa"/>
        <w:tblLayout w:type="fixed"/>
        <w:tblCellMar>
          <w:top w:w="80" w:type="dxa"/>
          <w:start w:w="80" w:type="dxa"/>
          <w:bottom w:w="80" w:type="dxa"/>
          <w:end w:w="80" w:type="dxa"/>
        </w:tblCellMar>
        <w:tblLook w:val="04a0" w:firstRow="1" w:noVBand="1" w:lastRow="0" w:firstColumn="1" w:lastColumn="0" w:noHBand="0"/>
      </w:tblPr>
      <w:tblGrid>
        <w:gridCol w:w="2952"/>
        <w:gridCol w:w="2231"/>
        <w:gridCol w:w="2304"/>
        <w:gridCol w:w="2305"/>
      </w:tblGrid>
      <w:tr>
        <w:trPr>
          <w:tblHeader w:val="true"/>
          <w:cantSplit/>
        </w:trPr>
        <w:tc>
          <w:tcPr>
            <w:tcW w:w="2952" w:type="dxa"/>
            <w:tcBorders>
              <w:top w:val="single" w:sz="4" w:space="0" w:color="C5BAAB"/>
              <w:bottom w:val="single" w:sz="4" w:space="0" w:color="C5BAAB"/>
            </w:tcBorders>
            <w:shd w:fill="EDE6DC" w:val="clear"/>
            <w:vAlign w:val="center"/>
          </w:tcPr>
          <w:p>
            <w:pPr>
              <w:pStyle w:val="Normal"/>
              <w:spacing w:lineRule="auto" w:line="254" w:before="20" w:after="20"/>
              <w:rPr/>
            </w:pPr>
            <w:r>
              <w:rPr>
                <w:rFonts w:ascii="Nimbus Sans" w:hAnsi="Nimbus Sans"/>
                <w:b/>
                <w:color w:val="25221E"/>
                <w:sz w:val="20"/>
              </w:rPr>
              <w:t>Evaluation subset</w:t>
            </w:r>
          </w:p>
        </w:tc>
        <w:tc>
          <w:tcPr>
            <w:tcW w:w="2231" w:type="dxa"/>
            <w:tcBorders>
              <w:top w:val="single" w:sz="4" w:space="0" w:color="C5BAAB"/>
              <w:bottom w:val="single" w:sz="4" w:space="0" w:color="C5BAAB"/>
            </w:tcBorders>
            <w:shd w:fill="EDE6DC" w:val="clear"/>
            <w:vAlign w:val="center"/>
          </w:tcPr>
          <w:p>
            <w:pPr>
              <w:pStyle w:val="Normal"/>
              <w:spacing w:lineRule="auto" w:line="254" w:before="20" w:after="20"/>
              <w:rPr/>
            </w:pPr>
            <w:r>
              <w:rPr>
                <w:rFonts w:ascii="Nimbus Sans" w:hAnsi="Nimbus Sans"/>
                <w:b/>
                <w:color w:val="25221E"/>
                <w:sz w:val="20"/>
              </w:rPr>
              <w:t>Baseline through</w:t>
            </w:r>
          </w:p>
        </w:tc>
        <w:tc>
          <w:tcPr>
            <w:tcW w:w="2304" w:type="dxa"/>
            <w:tcBorders>
              <w:top w:val="single" w:sz="4" w:space="0" w:color="C5BAAB"/>
              <w:bottom w:val="single" w:sz="4" w:space="0" w:color="C5BAAB"/>
            </w:tcBorders>
            <w:shd w:fill="EDE6DC" w:val="clear"/>
            <w:vAlign w:val="center"/>
          </w:tcPr>
          <w:p>
            <w:pPr>
              <w:pStyle w:val="Normal"/>
              <w:spacing w:lineRule="auto" w:line="254" w:before="20" w:after="20"/>
              <w:rPr/>
            </w:pPr>
            <w:r>
              <w:rPr>
                <w:rFonts w:ascii="Nimbus Sans" w:hAnsi="Nimbus Sans"/>
                <w:b/>
                <w:color w:val="25221E"/>
                <w:sz w:val="20"/>
              </w:rPr>
              <w:t>Later publication</w:t>
            </w:r>
          </w:p>
        </w:tc>
        <w:tc>
          <w:tcPr>
            <w:tcW w:w="2305" w:type="dxa"/>
            <w:tcBorders>
              <w:top w:val="single" w:sz="4" w:space="0" w:color="C5BAAB"/>
              <w:bottom w:val="single" w:sz="4" w:space="0" w:color="C5BAAB"/>
            </w:tcBorders>
            <w:shd w:fill="EDE6DC" w:val="clear"/>
            <w:vAlign w:val="center"/>
          </w:tcPr>
          <w:p>
            <w:pPr>
              <w:pStyle w:val="Normal"/>
              <w:spacing w:lineRule="auto" w:line="254" w:before="20" w:after="20"/>
              <w:jc w:val="end"/>
              <w:rPr/>
            </w:pPr>
            <w:r>
              <w:rPr>
                <w:rFonts w:ascii="Nimbus Sans" w:hAnsi="Nimbus Sans"/>
                <w:b/>
                <w:color w:val="25221E"/>
                <w:sz w:val="20"/>
              </w:rPr>
              <w:t>Later rows</w:t>
            </w:r>
          </w:p>
        </w:tc>
      </w:tr>
      <w:tr>
        <w:trPr>
          <w:cantSplit/>
        </w:trPr>
        <w:tc>
          <w:tcPr>
            <w:tcW w:w="2952" w:type="dxa"/>
            <w:tcBorders>
              <w:top w:val="single" w:sz="4" w:space="0" w:color="C5BAAB"/>
              <w:bottom w:val="single" w:sz="4" w:space="0" w:color="C5BAAB"/>
            </w:tcBorders>
            <w:vAlign w:val="center"/>
          </w:tcPr>
          <w:p>
            <w:pPr>
              <w:pStyle w:val="Normal"/>
              <w:spacing w:lineRule="auto" w:line="254" w:before="20" w:after="20"/>
              <w:rPr/>
            </w:pPr>
            <w:r>
              <w:rPr>
                <w:rFonts w:ascii="Nimbus Sans" w:hAnsi="Nimbus Sans"/>
                <w:b w:val="false"/>
                <w:color w:val="25221E"/>
                <w:sz w:val="20"/>
              </w:rPr>
              <w:t>Style-controlled text</w:t>
            </w:r>
          </w:p>
        </w:tc>
        <w:tc>
          <w:tcPr>
            <w:tcW w:w="2231" w:type="dxa"/>
            <w:tcBorders>
              <w:top w:val="single" w:sz="4" w:space="0" w:color="C5BAAB"/>
              <w:bottom w:val="single" w:sz="4" w:space="0" w:color="C5BAAB"/>
            </w:tcBorders>
            <w:vAlign w:val="center"/>
          </w:tcPr>
          <w:p>
            <w:pPr>
              <w:pStyle w:val="Normal"/>
              <w:spacing w:lineRule="auto" w:line="254" w:before="20" w:after="20"/>
              <w:rPr/>
            </w:pPr>
            <w:r>
              <w:rPr>
                <w:rFonts w:ascii="Nimbus Sans" w:hAnsi="Nimbus Sans"/>
                <w:b w:val="false"/>
                <w:color w:val="25221E"/>
                <w:sz w:val="20"/>
              </w:rPr>
              <w:t>25 Sep 2026</w:t>
            </w:r>
          </w:p>
        </w:tc>
        <w:tc>
          <w:tcPr>
            <w:tcW w:w="2304" w:type="dxa"/>
            <w:tcBorders>
              <w:top w:val="single" w:sz="4" w:space="0" w:color="C5BAAB"/>
              <w:bottom w:val="single" w:sz="4" w:space="0" w:color="C5BAAB"/>
            </w:tcBorders>
            <w:vAlign w:val="center"/>
          </w:tcPr>
          <w:p>
            <w:pPr>
              <w:pStyle w:val="Normal"/>
              <w:spacing w:lineRule="auto" w:line="254" w:before="20" w:after="20"/>
              <w:rPr/>
            </w:pPr>
            <w:r>
              <w:rPr>
                <w:rFonts w:ascii="Nimbus Sans" w:hAnsi="Nimbus Sans"/>
                <w:b w:val="false"/>
                <w:color w:val="25221E"/>
                <w:sz w:val="20"/>
              </w:rPr>
              <w:t>30 Sep 2026</w:t>
            </w:r>
          </w:p>
        </w:tc>
        <w:tc>
          <w:tcPr>
            <w:tcW w:w="2305" w:type="dxa"/>
            <w:tcBorders>
              <w:top w:val="single" w:sz="4" w:space="0" w:color="C5BAAB"/>
              <w:bottom w:val="single" w:sz="4" w:space="0" w:color="C5BAAB"/>
            </w:tcBorders>
            <w:vAlign w:val="center"/>
          </w:tcPr>
          <w:p>
            <w:pPr>
              <w:pStyle w:val="Normal"/>
              <w:spacing w:lineRule="auto" w:line="254" w:before="20" w:after="20"/>
              <w:jc w:val="end"/>
              <w:rPr/>
            </w:pPr>
            <w:r>
              <w:rPr>
                <w:rFonts w:ascii="Nimbus Sans" w:hAnsi="Nimbus Sans"/>
                <w:b w:val="false"/>
                <w:color w:val="25221E"/>
                <w:sz w:val="20"/>
              </w:rPr>
              <w:t>10,855</w:t>
            </w:r>
          </w:p>
        </w:tc>
      </w:tr>
      <w:tr>
        <w:trPr>
          <w:cantSplit/>
        </w:trPr>
        <w:tc>
          <w:tcPr>
            <w:tcW w:w="2952" w:type="dxa"/>
            <w:tcBorders>
              <w:top w:val="single" w:sz="4" w:space="0" w:color="C5BAAB"/>
              <w:bottom w:val="single" w:sz="4" w:space="0" w:color="C5BAAB"/>
            </w:tcBorders>
            <w:vAlign w:val="center"/>
          </w:tcPr>
          <w:p>
            <w:pPr>
              <w:pStyle w:val="Normal"/>
              <w:spacing w:lineRule="auto" w:line="254" w:before="20" w:after="20"/>
              <w:rPr/>
            </w:pPr>
            <w:r>
              <w:rPr>
                <w:rFonts w:ascii="Nimbus Sans" w:hAnsi="Nimbus Sans"/>
                <w:b w:val="false"/>
                <w:color w:val="25221E"/>
                <w:sz w:val="20"/>
              </w:rPr>
              <w:t>Web development</w:t>
            </w:r>
          </w:p>
        </w:tc>
        <w:tc>
          <w:tcPr>
            <w:tcW w:w="2231" w:type="dxa"/>
            <w:tcBorders>
              <w:top w:val="single" w:sz="4" w:space="0" w:color="C5BAAB"/>
              <w:bottom w:val="single" w:sz="4" w:space="0" w:color="C5BAAB"/>
            </w:tcBorders>
            <w:vAlign w:val="center"/>
          </w:tcPr>
          <w:p>
            <w:pPr>
              <w:pStyle w:val="Normal"/>
              <w:spacing w:lineRule="auto" w:line="254" w:before="20" w:after="20"/>
              <w:rPr/>
            </w:pPr>
            <w:r>
              <w:rPr>
                <w:rFonts w:ascii="Nimbus Sans" w:hAnsi="Nimbus Sans"/>
                <w:b w:val="false"/>
                <w:color w:val="25221E"/>
                <w:sz w:val="20"/>
              </w:rPr>
              <w:t>29 Sep 2026</w:t>
            </w:r>
          </w:p>
        </w:tc>
        <w:tc>
          <w:tcPr>
            <w:tcW w:w="2304" w:type="dxa"/>
            <w:tcBorders>
              <w:top w:val="single" w:sz="4" w:space="0" w:color="C5BAAB"/>
              <w:bottom w:val="single" w:sz="4" w:space="0" w:color="C5BAAB"/>
            </w:tcBorders>
            <w:vAlign w:val="center"/>
          </w:tcPr>
          <w:p>
            <w:pPr>
              <w:pStyle w:val="Normal"/>
              <w:spacing w:lineRule="auto" w:line="254" w:before="20" w:after="20"/>
              <w:rPr/>
            </w:pPr>
            <w:r>
              <w:rPr>
                <w:rFonts w:ascii="Nimbus Sans" w:hAnsi="Nimbus Sans"/>
                <w:b w:val="false"/>
                <w:color w:val="25221E"/>
                <w:sz w:val="20"/>
              </w:rPr>
              <w:t>30 Sep 2026</w:t>
            </w:r>
          </w:p>
        </w:tc>
        <w:tc>
          <w:tcPr>
            <w:tcW w:w="2305" w:type="dxa"/>
            <w:tcBorders>
              <w:top w:val="single" w:sz="4" w:space="0" w:color="C5BAAB"/>
              <w:bottom w:val="single" w:sz="4" w:space="0" w:color="C5BAAB"/>
            </w:tcBorders>
            <w:vAlign w:val="center"/>
          </w:tcPr>
          <w:p>
            <w:pPr>
              <w:pStyle w:val="Normal"/>
              <w:spacing w:lineRule="auto" w:line="254" w:before="20" w:after="20"/>
              <w:jc w:val="end"/>
              <w:rPr/>
            </w:pPr>
            <w:r>
              <w:rPr>
                <w:rFonts w:ascii="Nimbus Sans" w:hAnsi="Nimbus Sans"/>
                <w:b w:val="false"/>
                <w:color w:val="25221E"/>
                <w:sz w:val="20"/>
              </w:rPr>
              <w:t>530</w:t>
            </w:r>
          </w:p>
        </w:tc>
      </w:tr>
      <w:tr>
        <w:trPr>
          <w:cantSplit/>
        </w:trPr>
        <w:tc>
          <w:tcPr>
            <w:tcW w:w="2952" w:type="dxa"/>
            <w:tcBorders>
              <w:top w:val="single" w:sz="4" w:space="0" w:color="C5BAAB"/>
              <w:bottom w:val="single" w:sz="4" w:space="0" w:color="C5BAAB"/>
            </w:tcBorders>
            <w:vAlign w:val="center"/>
          </w:tcPr>
          <w:p>
            <w:pPr>
              <w:pStyle w:val="Normal"/>
              <w:spacing w:lineRule="auto" w:line="254" w:before="20" w:after="20"/>
              <w:rPr/>
            </w:pPr>
            <w:r>
              <w:rPr>
                <w:rFonts w:ascii="Nimbus Sans" w:hAnsi="Nimbus Sans"/>
                <w:b w:val="false"/>
                <w:color w:val="25221E"/>
                <w:sz w:val="20"/>
              </w:rPr>
              <w:t>Agent evaluations</w:t>
            </w:r>
          </w:p>
        </w:tc>
        <w:tc>
          <w:tcPr>
            <w:tcW w:w="2231" w:type="dxa"/>
            <w:tcBorders>
              <w:top w:val="single" w:sz="4" w:space="0" w:color="C5BAAB"/>
              <w:bottom w:val="single" w:sz="4" w:space="0" w:color="C5BAAB"/>
            </w:tcBorders>
            <w:vAlign w:val="center"/>
          </w:tcPr>
          <w:p>
            <w:pPr>
              <w:pStyle w:val="Normal"/>
              <w:spacing w:lineRule="auto" w:line="254" w:before="20" w:after="20"/>
              <w:rPr/>
            </w:pPr>
            <w:r>
              <w:rPr>
                <w:rFonts w:ascii="Nimbus Sans" w:hAnsi="Nimbus Sans"/>
                <w:b w:val="false"/>
                <w:color w:val="25221E"/>
                <w:sz w:val="20"/>
              </w:rPr>
              <w:t>28 Sep 2026</w:t>
            </w:r>
          </w:p>
        </w:tc>
        <w:tc>
          <w:tcPr>
            <w:tcW w:w="2304" w:type="dxa"/>
            <w:tcBorders>
              <w:top w:val="single" w:sz="4" w:space="0" w:color="C5BAAB"/>
              <w:bottom w:val="single" w:sz="4" w:space="0" w:color="C5BAAB"/>
            </w:tcBorders>
            <w:vAlign w:val="center"/>
          </w:tcPr>
          <w:p>
            <w:pPr>
              <w:pStyle w:val="Normal"/>
              <w:spacing w:lineRule="auto" w:line="254" w:before="20" w:after="20"/>
              <w:rPr/>
            </w:pPr>
            <w:r>
              <w:rPr>
                <w:rFonts w:ascii="Nimbus Sans" w:hAnsi="Nimbus Sans"/>
                <w:b w:val="false"/>
                <w:color w:val="25221E"/>
                <w:sz w:val="20"/>
              </w:rPr>
              <w:t>30 Sep 2026</w:t>
            </w:r>
          </w:p>
        </w:tc>
        <w:tc>
          <w:tcPr>
            <w:tcW w:w="2305" w:type="dxa"/>
            <w:tcBorders>
              <w:top w:val="single" w:sz="4" w:space="0" w:color="C5BAAB"/>
              <w:bottom w:val="single" w:sz="4" w:space="0" w:color="C5BAAB"/>
            </w:tcBorders>
            <w:vAlign w:val="center"/>
          </w:tcPr>
          <w:p>
            <w:pPr>
              <w:pStyle w:val="Normal"/>
              <w:spacing w:lineRule="auto" w:line="254" w:before="20" w:after="20"/>
              <w:jc w:val="end"/>
              <w:rPr/>
            </w:pPr>
            <w:r>
              <w:rPr>
                <w:rFonts w:ascii="Nimbus Sans" w:hAnsi="Nimbus Sans"/>
                <w:b w:val="false"/>
                <w:color w:val="25221E"/>
                <w:sz w:val="20"/>
              </w:rPr>
              <w:t>46</w:t>
            </w:r>
          </w:p>
        </w:tc>
      </w:tr>
    </w:tbl>
    <w:p>
      <w:pPr>
        <w:pStyle w:val="Normal"/>
        <w:spacing w:lineRule="auto" w:line="240" w:before="0" w:after="0"/>
        <w:rPr/>
      </w:pPr>
      <w:r>
        <w:rPr/>
      </w:r>
    </w:p>
    <w:p>
      <w:pPr>
        <w:pStyle w:val="Normal"/>
        <w:rPr/>
      </w:pPr>
      <w:r>
        <w:rPr/>
        <w:t>The baseline samples contain 1,212 text rows, 402 web development rows, and 135 agent rows. Both batches were extracted from dated source history during the initial acquisition. They demonstrate a historical load followed by a later publication, rather than two separate live collection days. A subsequent live snapshot will also be retained during operation.</w:t>
      </w:r>
    </w:p>
    <w:p>
      <w:pPr>
        <w:pStyle w:val="Normal"/>
        <w:rPr/>
      </w:pPr>
      <w:r>
        <w:rPr/>
        <w:t>A manifest records the exact source revision, selection dates, row counts, byte sizes, and SHA-256 checksums. Small BenchLM JSON samples are included with their source notices and attribution.</w:t>
      </w:r>
    </w:p>
    <w:p>
      <w:pPr>
        <w:pStyle w:val="Heading2"/>
        <w:rPr/>
      </w:pPr>
      <w:r>
        <w:rPr/>
        <w:t>Measured initial downloads</w:t>
      </w:r>
    </w:p>
    <w:tbl>
      <w:tblPr>
        <w:tblW w:w="9792" w:type="dxa"/>
        <w:jc w:val="center"/>
        <w:tblInd w:w="0" w:type="dxa"/>
        <w:tblLayout w:type="fixed"/>
        <w:tblCellMar>
          <w:top w:w="80" w:type="dxa"/>
          <w:start w:w="80" w:type="dxa"/>
          <w:bottom w:w="80" w:type="dxa"/>
          <w:end w:w="80" w:type="dxa"/>
        </w:tblCellMar>
        <w:tblLook w:val="04a0" w:firstRow="1" w:noVBand="1" w:lastRow="0" w:firstColumn="1" w:lastColumn="0" w:noHBand="0"/>
      </w:tblPr>
      <w:tblGrid>
        <w:gridCol w:w="4752"/>
        <w:gridCol w:w="3311"/>
        <w:gridCol w:w="1729"/>
      </w:tblGrid>
      <w:tr>
        <w:trPr>
          <w:tblHeader w:val="true"/>
          <w:cantSplit/>
        </w:trPr>
        <w:tc>
          <w:tcPr>
            <w:tcW w:w="4752" w:type="dxa"/>
            <w:tcBorders>
              <w:top w:val="single" w:sz="4" w:space="0" w:color="C5BAAB"/>
              <w:bottom w:val="single" w:sz="4" w:space="0" w:color="C5BAAB"/>
            </w:tcBorders>
            <w:shd w:fill="EDE6DC" w:val="clear"/>
            <w:vAlign w:val="center"/>
          </w:tcPr>
          <w:p>
            <w:pPr>
              <w:pStyle w:val="Normal"/>
              <w:spacing w:lineRule="auto" w:line="254" w:before="20" w:after="20"/>
              <w:rPr/>
            </w:pPr>
            <w:r>
              <w:rPr>
                <w:rFonts w:ascii="Nimbus Sans" w:hAnsi="Nimbus Sans"/>
                <w:b/>
                <w:color w:val="25221E"/>
                <w:sz w:val="20"/>
              </w:rPr>
              <w:t>Source file</w:t>
            </w:r>
          </w:p>
        </w:tc>
        <w:tc>
          <w:tcPr>
            <w:tcW w:w="3311" w:type="dxa"/>
            <w:tcBorders>
              <w:top w:val="single" w:sz="4" w:space="0" w:color="C5BAAB"/>
              <w:bottom w:val="single" w:sz="4" w:space="0" w:color="C5BAAB"/>
            </w:tcBorders>
            <w:shd w:fill="EDE6DC" w:val="clear"/>
            <w:vAlign w:val="center"/>
          </w:tcPr>
          <w:p>
            <w:pPr>
              <w:pStyle w:val="Normal"/>
              <w:spacing w:lineRule="auto" w:line="254" w:before="20" w:after="20"/>
              <w:rPr/>
            </w:pPr>
            <w:r>
              <w:rPr>
                <w:rFonts w:ascii="Nimbus Sans" w:hAnsi="Nimbus Sans"/>
                <w:b/>
                <w:color w:val="25221E"/>
                <w:sz w:val="20"/>
              </w:rPr>
              <w:t>Records or items</w:t>
            </w:r>
          </w:p>
        </w:tc>
        <w:tc>
          <w:tcPr>
            <w:tcW w:w="1729" w:type="dxa"/>
            <w:tcBorders>
              <w:top w:val="single" w:sz="4" w:space="0" w:color="C5BAAB"/>
              <w:bottom w:val="single" w:sz="4" w:space="0" w:color="C5BAAB"/>
            </w:tcBorders>
            <w:shd w:fill="EDE6DC" w:val="clear"/>
            <w:vAlign w:val="center"/>
          </w:tcPr>
          <w:p>
            <w:pPr>
              <w:pStyle w:val="Normal"/>
              <w:spacing w:lineRule="auto" w:line="254" w:before="20" w:after="20"/>
              <w:jc w:val="end"/>
              <w:rPr/>
            </w:pPr>
            <w:r>
              <w:rPr>
                <w:rFonts w:ascii="Nimbus Sans" w:hAnsi="Nimbus Sans"/>
                <w:b/>
                <w:color w:val="25221E"/>
                <w:sz w:val="20"/>
              </w:rPr>
              <w:t>Size in MB</w:t>
            </w:r>
          </w:p>
        </w:tc>
      </w:tr>
      <w:tr>
        <w:trPr>
          <w:cantSplit/>
        </w:trPr>
        <w:tc>
          <w:tcPr>
            <w:tcW w:w="4752" w:type="dxa"/>
            <w:tcBorders>
              <w:top w:val="single" w:sz="4" w:space="0" w:color="C5BAAB"/>
              <w:bottom w:val="single" w:sz="4" w:space="0" w:color="C5BAAB"/>
            </w:tcBorders>
            <w:vAlign w:val="center"/>
          </w:tcPr>
          <w:p>
            <w:pPr>
              <w:pStyle w:val="Normal"/>
              <w:spacing w:lineRule="auto" w:line="254" w:before="20" w:after="20"/>
              <w:rPr/>
            </w:pPr>
            <w:r>
              <w:rPr>
                <w:rFonts w:ascii="Nimbus Sans" w:hAnsi="Nimbus Sans"/>
                <w:b w:val="false"/>
                <w:color w:val="25221E"/>
                <w:sz w:val="20"/>
              </w:rPr>
              <w:t>Arena text history</w:t>
            </w:r>
          </w:p>
        </w:tc>
        <w:tc>
          <w:tcPr>
            <w:tcW w:w="3311" w:type="dxa"/>
            <w:tcBorders>
              <w:top w:val="single" w:sz="4" w:space="0" w:color="C5BAAB"/>
              <w:bottom w:val="single" w:sz="4" w:space="0" w:color="C5BAAB"/>
            </w:tcBorders>
            <w:vAlign w:val="center"/>
          </w:tcPr>
          <w:p>
            <w:pPr>
              <w:pStyle w:val="Normal"/>
              <w:spacing w:lineRule="auto" w:line="254" w:before="20" w:after="20"/>
              <w:rPr/>
            </w:pPr>
            <w:r>
              <w:rPr>
                <w:rFonts w:ascii="Nimbus Sans" w:hAnsi="Nimbus Sans"/>
                <w:b w:val="false"/>
                <w:color w:val="25221E"/>
                <w:sz w:val="20"/>
              </w:rPr>
              <w:t>1,016,009</w:t>
            </w:r>
          </w:p>
        </w:tc>
        <w:tc>
          <w:tcPr>
            <w:tcW w:w="1729" w:type="dxa"/>
            <w:tcBorders>
              <w:top w:val="single" w:sz="4" w:space="0" w:color="C5BAAB"/>
              <w:bottom w:val="single" w:sz="4" w:space="0" w:color="C5BAAB"/>
            </w:tcBorders>
            <w:vAlign w:val="center"/>
          </w:tcPr>
          <w:p>
            <w:pPr>
              <w:pStyle w:val="Normal"/>
              <w:spacing w:lineRule="auto" w:line="254" w:before="20" w:after="20"/>
              <w:jc w:val="end"/>
              <w:rPr/>
            </w:pPr>
            <w:r>
              <w:rPr>
                <w:rFonts w:ascii="Nimbus Sans" w:hAnsi="Nimbus Sans"/>
                <w:b w:val="false"/>
                <w:color w:val="25221E"/>
                <w:sz w:val="20"/>
              </w:rPr>
              <w:t>51.09</w:t>
            </w:r>
          </w:p>
        </w:tc>
      </w:tr>
      <w:tr>
        <w:trPr>
          <w:cantSplit/>
        </w:trPr>
        <w:tc>
          <w:tcPr>
            <w:tcW w:w="4752" w:type="dxa"/>
            <w:tcBorders>
              <w:top w:val="single" w:sz="4" w:space="0" w:color="C5BAAB"/>
              <w:bottom w:val="single" w:sz="4" w:space="0" w:color="C5BAAB"/>
            </w:tcBorders>
            <w:vAlign w:val="center"/>
          </w:tcPr>
          <w:p>
            <w:pPr>
              <w:pStyle w:val="Normal"/>
              <w:spacing w:lineRule="auto" w:line="254" w:before="20" w:after="20"/>
              <w:rPr/>
            </w:pPr>
            <w:r>
              <w:rPr>
                <w:rFonts w:ascii="Nimbus Sans" w:hAnsi="Nimbus Sans"/>
                <w:b w:val="false"/>
                <w:color w:val="25221E"/>
                <w:sz w:val="20"/>
              </w:rPr>
              <w:t>Arena web development history</w:t>
            </w:r>
          </w:p>
        </w:tc>
        <w:tc>
          <w:tcPr>
            <w:tcW w:w="3311" w:type="dxa"/>
            <w:tcBorders>
              <w:top w:val="single" w:sz="4" w:space="0" w:color="C5BAAB"/>
              <w:bottom w:val="single" w:sz="4" w:space="0" w:color="C5BAAB"/>
            </w:tcBorders>
            <w:vAlign w:val="center"/>
          </w:tcPr>
          <w:p>
            <w:pPr>
              <w:pStyle w:val="Normal"/>
              <w:spacing w:lineRule="auto" w:line="254" w:before="20" w:after="20"/>
              <w:rPr/>
            </w:pPr>
            <w:r>
              <w:rPr>
                <w:rFonts w:ascii="Nimbus Sans" w:hAnsi="Nimbus Sans"/>
                <w:b w:val="false"/>
                <w:color w:val="25221E"/>
                <w:sz w:val="20"/>
              </w:rPr>
              <w:t>25,178</w:t>
            </w:r>
          </w:p>
        </w:tc>
        <w:tc>
          <w:tcPr>
            <w:tcW w:w="1729" w:type="dxa"/>
            <w:tcBorders>
              <w:top w:val="single" w:sz="4" w:space="0" w:color="C5BAAB"/>
              <w:bottom w:val="single" w:sz="4" w:space="0" w:color="C5BAAB"/>
            </w:tcBorders>
            <w:vAlign w:val="center"/>
          </w:tcPr>
          <w:p>
            <w:pPr>
              <w:pStyle w:val="Normal"/>
              <w:spacing w:lineRule="auto" w:line="254" w:before="20" w:after="20"/>
              <w:jc w:val="end"/>
              <w:rPr/>
            </w:pPr>
            <w:r>
              <w:rPr>
                <w:rFonts w:ascii="Nimbus Sans" w:hAnsi="Nimbus Sans"/>
                <w:b w:val="false"/>
                <w:color w:val="25221E"/>
                <w:sz w:val="20"/>
              </w:rPr>
              <w:t>1.13</w:t>
            </w:r>
          </w:p>
        </w:tc>
      </w:tr>
      <w:tr>
        <w:trPr>
          <w:cantSplit/>
        </w:trPr>
        <w:tc>
          <w:tcPr>
            <w:tcW w:w="4752" w:type="dxa"/>
            <w:tcBorders>
              <w:top w:val="single" w:sz="4" w:space="0" w:color="C5BAAB"/>
              <w:bottom w:val="single" w:sz="4" w:space="0" w:color="C5BAAB"/>
            </w:tcBorders>
            <w:vAlign w:val="center"/>
          </w:tcPr>
          <w:p>
            <w:pPr>
              <w:pStyle w:val="Normal"/>
              <w:spacing w:lineRule="auto" w:line="254" w:before="20" w:after="20"/>
              <w:rPr/>
            </w:pPr>
            <w:r>
              <w:rPr>
                <w:rFonts w:ascii="Nimbus Sans" w:hAnsi="Nimbus Sans"/>
                <w:b w:val="false"/>
                <w:color w:val="25221E"/>
                <w:sz w:val="20"/>
              </w:rPr>
              <w:t>Arena agent history</w:t>
            </w:r>
          </w:p>
        </w:tc>
        <w:tc>
          <w:tcPr>
            <w:tcW w:w="3311" w:type="dxa"/>
            <w:tcBorders>
              <w:top w:val="single" w:sz="4" w:space="0" w:color="C5BAAB"/>
              <w:bottom w:val="single" w:sz="4" w:space="0" w:color="C5BAAB"/>
            </w:tcBorders>
            <w:vAlign w:val="center"/>
          </w:tcPr>
          <w:p>
            <w:pPr>
              <w:pStyle w:val="Normal"/>
              <w:spacing w:lineRule="auto" w:line="254" w:before="20" w:after="20"/>
              <w:rPr/>
            </w:pPr>
            <w:r>
              <w:rPr>
                <w:rFonts w:ascii="Nimbus Sans" w:hAnsi="Nimbus Sans"/>
                <w:b w:val="false"/>
                <w:color w:val="25221E"/>
                <w:sz w:val="20"/>
              </w:rPr>
              <w:t>1,480</w:t>
            </w:r>
          </w:p>
        </w:tc>
        <w:tc>
          <w:tcPr>
            <w:tcW w:w="1729" w:type="dxa"/>
            <w:tcBorders>
              <w:top w:val="single" w:sz="4" w:space="0" w:color="C5BAAB"/>
              <w:bottom w:val="single" w:sz="4" w:space="0" w:color="C5BAAB"/>
            </w:tcBorders>
            <w:vAlign w:val="center"/>
          </w:tcPr>
          <w:p>
            <w:pPr>
              <w:pStyle w:val="Normal"/>
              <w:spacing w:lineRule="auto" w:line="254" w:before="20" w:after="20"/>
              <w:jc w:val="end"/>
              <w:rPr/>
            </w:pPr>
            <w:r>
              <w:rPr>
                <w:rFonts w:ascii="Nimbus Sans" w:hAnsi="Nimbus Sans"/>
                <w:b w:val="false"/>
                <w:color w:val="25221E"/>
                <w:sz w:val="20"/>
              </w:rPr>
              <w:t>0.07</w:t>
            </w:r>
          </w:p>
        </w:tc>
      </w:tr>
      <w:tr>
        <w:trPr>
          <w:cantSplit/>
        </w:trPr>
        <w:tc>
          <w:tcPr>
            <w:tcW w:w="4752" w:type="dxa"/>
            <w:tcBorders>
              <w:top w:val="single" w:sz="4" w:space="0" w:color="C5BAAB"/>
              <w:bottom w:val="single" w:sz="4" w:space="0" w:color="C5BAAB"/>
            </w:tcBorders>
            <w:vAlign w:val="center"/>
          </w:tcPr>
          <w:p>
            <w:pPr>
              <w:pStyle w:val="Normal"/>
              <w:spacing w:lineRule="auto" w:line="254" w:before="20" w:after="20"/>
              <w:rPr/>
            </w:pPr>
            <w:r>
              <w:rPr>
                <w:rFonts w:ascii="Nimbus Sans" w:hAnsi="Nimbus Sans"/>
                <w:b w:val="false"/>
                <w:color w:val="25221E"/>
                <w:sz w:val="20"/>
              </w:rPr>
              <w:t>BenchLM model catalog</w:t>
            </w:r>
          </w:p>
        </w:tc>
        <w:tc>
          <w:tcPr>
            <w:tcW w:w="3311" w:type="dxa"/>
            <w:tcBorders>
              <w:top w:val="single" w:sz="4" w:space="0" w:color="C5BAAB"/>
              <w:bottom w:val="single" w:sz="4" w:space="0" w:color="C5BAAB"/>
            </w:tcBorders>
            <w:vAlign w:val="center"/>
          </w:tcPr>
          <w:p>
            <w:pPr>
              <w:pStyle w:val="Normal"/>
              <w:spacing w:lineRule="auto" w:line="254" w:before="20" w:after="20"/>
              <w:rPr/>
            </w:pPr>
            <w:r>
              <w:rPr>
                <w:rFonts w:ascii="Nimbus Sans" w:hAnsi="Nimbus Sans"/>
                <w:b w:val="false"/>
                <w:color w:val="25221E"/>
                <w:sz w:val="20"/>
              </w:rPr>
              <w:t>638</w:t>
            </w:r>
          </w:p>
        </w:tc>
        <w:tc>
          <w:tcPr>
            <w:tcW w:w="1729" w:type="dxa"/>
            <w:tcBorders>
              <w:top w:val="single" w:sz="4" w:space="0" w:color="C5BAAB"/>
              <w:bottom w:val="single" w:sz="4" w:space="0" w:color="C5BAAB"/>
            </w:tcBorders>
            <w:vAlign w:val="center"/>
          </w:tcPr>
          <w:p>
            <w:pPr>
              <w:pStyle w:val="Normal"/>
              <w:spacing w:lineRule="auto" w:line="254" w:before="20" w:after="20"/>
              <w:jc w:val="end"/>
              <w:rPr/>
            </w:pPr>
            <w:r>
              <w:rPr>
                <w:rFonts w:ascii="Nimbus Sans" w:hAnsi="Nimbus Sans"/>
                <w:b w:val="false"/>
                <w:color w:val="25221E"/>
                <w:sz w:val="20"/>
              </w:rPr>
              <w:t>2.32</w:t>
            </w:r>
          </w:p>
        </w:tc>
      </w:tr>
      <w:tr>
        <w:trPr>
          <w:cantSplit/>
        </w:trPr>
        <w:tc>
          <w:tcPr>
            <w:tcW w:w="4752" w:type="dxa"/>
            <w:tcBorders>
              <w:top w:val="single" w:sz="4" w:space="0" w:color="C5BAAB"/>
              <w:bottom w:val="single" w:sz="4" w:space="0" w:color="C5BAAB"/>
            </w:tcBorders>
            <w:vAlign w:val="center"/>
          </w:tcPr>
          <w:p>
            <w:pPr>
              <w:pStyle w:val="Normal"/>
              <w:spacing w:lineRule="auto" w:line="254" w:before="20" w:after="20"/>
              <w:rPr/>
            </w:pPr>
            <w:r>
              <w:rPr>
                <w:rFonts w:ascii="Nimbus Sans" w:hAnsi="Nimbus Sans"/>
                <w:b w:val="false"/>
                <w:color w:val="25221E"/>
                <w:sz w:val="20"/>
              </w:rPr>
              <w:t>BenchLM benchmark catalog</w:t>
            </w:r>
          </w:p>
        </w:tc>
        <w:tc>
          <w:tcPr>
            <w:tcW w:w="3311" w:type="dxa"/>
            <w:tcBorders>
              <w:top w:val="single" w:sz="4" w:space="0" w:color="C5BAAB"/>
              <w:bottom w:val="single" w:sz="4" w:space="0" w:color="C5BAAB"/>
            </w:tcBorders>
            <w:vAlign w:val="center"/>
          </w:tcPr>
          <w:p>
            <w:pPr>
              <w:pStyle w:val="Normal"/>
              <w:spacing w:lineRule="auto" w:line="254" w:before="20" w:after="20"/>
              <w:rPr/>
            </w:pPr>
            <w:r>
              <w:rPr>
                <w:rFonts w:ascii="Nimbus Sans" w:hAnsi="Nimbus Sans"/>
                <w:b w:val="false"/>
                <w:color w:val="25221E"/>
                <w:sz w:val="20"/>
              </w:rPr>
              <w:t>508</w:t>
            </w:r>
          </w:p>
        </w:tc>
        <w:tc>
          <w:tcPr>
            <w:tcW w:w="1729" w:type="dxa"/>
            <w:tcBorders>
              <w:top w:val="single" w:sz="4" w:space="0" w:color="C5BAAB"/>
              <w:bottom w:val="single" w:sz="4" w:space="0" w:color="C5BAAB"/>
            </w:tcBorders>
            <w:vAlign w:val="center"/>
          </w:tcPr>
          <w:p>
            <w:pPr>
              <w:pStyle w:val="Normal"/>
              <w:spacing w:lineRule="auto" w:line="254" w:before="20" w:after="20"/>
              <w:jc w:val="end"/>
              <w:rPr/>
            </w:pPr>
            <w:r>
              <w:rPr>
                <w:rFonts w:ascii="Nimbus Sans" w:hAnsi="Nimbus Sans"/>
                <w:b w:val="false"/>
                <w:color w:val="25221E"/>
                <w:sz w:val="20"/>
              </w:rPr>
              <w:t>0.54</w:t>
            </w:r>
          </w:p>
        </w:tc>
      </w:tr>
      <w:tr>
        <w:trPr>
          <w:cantSplit/>
        </w:trPr>
        <w:tc>
          <w:tcPr>
            <w:tcW w:w="4752" w:type="dxa"/>
            <w:tcBorders>
              <w:top w:val="single" w:sz="4" w:space="0" w:color="C5BAAB"/>
              <w:bottom w:val="single" w:sz="4" w:space="0" w:color="C5BAAB"/>
            </w:tcBorders>
            <w:vAlign w:val="center"/>
          </w:tcPr>
          <w:p>
            <w:pPr>
              <w:pStyle w:val="Normal"/>
              <w:spacing w:lineRule="auto" w:line="254" w:before="20" w:after="20"/>
              <w:rPr/>
            </w:pPr>
            <w:r>
              <w:rPr>
                <w:rFonts w:ascii="Nimbus Sans" w:hAnsi="Nimbus Sans"/>
                <w:b w:val="false"/>
                <w:color w:val="25221E"/>
                <w:sz w:val="20"/>
              </w:rPr>
              <w:t>BenchLM pricing catalog</w:t>
            </w:r>
          </w:p>
        </w:tc>
        <w:tc>
          <w:tcPr>
            <w:tcW w:w="3311" w:type="dxa"/>
            <w:tcBorders>
              <w:top w:val="single" w:sz="4" w:space="0" w:color="C5BAAB"/>
              <w:bottom w:val="single" w:sz="4" w:space="0" w:color="C5BAAB"/>
            </w:tcBorders>
            <w:vAlign w:val="center"/>
          </w:tcPr>
          <w:p>
            <w:pPr>
              <w:pStyle w:val="Normal"/>
              <w:spacing w:lineRule="auto" w:line="254" w:before="20" w:after="20"/>
              <w:rPr/>
            </w:pPr>
            <w:r>
              <w:rPr>
                <w:rFonts w:ascii="Nimbus Sans" w:hAnsi="Nimbus Sans"/>
                <w:b w:val="false"/>
                <w:color w:val="25221E"/>
                <w:sz w:val="20"/>
              </w:rPr>
              <w:t>576</w:t>
            </w:r>
          </w:p>
        </w:tc>
        <w:tc>
          <w:tcPr>
            <w:tcW w:w="1729" w:type="dxa"/>
            <w:tcBorders>
              <w:top w:val="single" w:sz="4" w:space="0" w:color="C5BAAB"/>
              <w:bottom w:val="single" w:sz="4" w:space="0" w:color="C5BAAB"/>
            </w:tcBorders>
            <w:vAlign w:val="center"/>
          </w:tcPr>
          <w:p>
            <w:pPr>
              <w:pStyle w:val="Normal"/>
              <w:spacing w:lineRule="auto" w:line="254" w:before="20" w:after="20"/>
              <w:jc w:val="end"/>
              <w:rPr/>
            </w:pPr>
            <w:r>
              <w:rPr>
                <w:rFonts w:ascii="Nimbus Sans" w:hAnsi="Nimbus Sans"/>
                <w:b w:val="false"/>
                <w:color w:val="25221E"/>
                <w:sz w:val="20"/>
              </w:rPr>
              <w:t>0.50</w:t>
            </w:r>
          </w:p>
        </w:tc>
      </w:tr>
      <w:tr>
        <w:trPr>
          <w:cantSplit/>
        </w:trPr>
        <w:tc>
          <w:tcPr>
            <w:tcW w:w="4752" w:type="dxa"/>
            <w:tcBorders>
              <w:top w:val="single" w:sz="4" w:space="0" w:color="C5BAAB"/>
              <w:bottom w:val="single" w:sz="4" w:space="0" w:color="C5BAAB"/>
            </w:tcBorders>
            <w:vAlign w:val="center"/>
          </w:tcPr>
          <w:p>
            <w:pPr>
              <w:pStyle w:val="Normal"/>
              <w:spacing w:lineRule="auto" w:line="254" w:before="20" w:after="20"/>
              <w:rPr/>
            </w:pPr>
            <w:r>
              <w:rPr>
                <w:rFonts w:ascii="Nimbus Sans" w:hAnsi="Nimbus Sans"/>
                <w:b w:val="false"/>
                <w:color w:val="25221E"/>
                <w:sz w:val="20"/>
              </w:rPr>
              <w:t>Epoch AI models</w:t>
            </w:r>
          </w:p>
        </w:tc>
        <w:tc>
          <w:tcPr>
            <w:tcW w:w="3311" w:type="dxa"/>
            <w:tcBorders>
              <w:top w:val="single" w:sz="4" w:space="0" w:color="C5BAAB"/>
              <w:bottom w:val="single" w:sz="4" w:space="0" w:color="C5BAAB"/>
            </w:tcBorders>
            <w:vAlign w:val="center"/>
          </w:tcPr>
          <w:p>
            <w:pPr>
              <w:pStyle w:val="Normal"/>
              <w:spacing w:lineRule="auto" w:line="254" w:before="20" w:after="20"/>
              <w:rPr/>
            </w:pPr>
            <w:r>
              <w:rPr>
                <w:rFonts w:ascii="Nimbus Sans" w:hAnsi="Nimbus Sans"/>
                <w:b w:val="false"/>
                <w:color w:val="25221E"/>
                <w:sz w:val="20"/>
              </w:rPr>
              <w:t>3,626</w:t>
            </w:r>
          </w:p>
        </w:tc>
        <w:tc>
          <w:tcPr>
            <w:tcW w:w="1729" w:type="dxa"/>
            <w:tcBorders>
              <w:top w:val="single" w:sz="4" w:space="0" w:color="C5BAAB"/>
              <w:bottom w:val="single" w:sz="4" w:space="0" w:color="C5BAAB"/>
            </w:tcBorders>
            <w:vAlign w:val="center"/>
          </w:tcPr>
          <w:p>
            <w:pPr>
              <w:pStyle w:val="Normal"/>
              <w:spacing w:lineRule="auto" w:line="254" w:before="20" w:after="20"/>
              <w:jc w:val="end"/>
              <w:rPr/>
            </w:pPr>
            <w:r>
              <w:rPr>
                <w:rFonts w:ascii="Nimbus Sans" w:hAnsi="Nimbus Sans"/>
                <w:b w:val="false"/>
                <w:color w:val="25221E"/>
                <w:sz w:val="20"/>
              </w:rPr>
              <w:t>6.83</w:t>
            </w:r>
          </w:p>
        </w:tc>
      </w:tr>
      <w:tr>
        <w:trPr>
          <w:cantSplit/>
        </w:trPr>
        <w:tc>
          <w:tcPr>
            <w:tcW w:w="4752" w:type="dxa"/>
            <w:tcBorders>
              <w:top w:val="single" w:sz="4" w:space="0" w:color="C5BAAB"/>
              <w:bottom w:val="single" w:sz="4" w:space="0" w:color="C5BAAB"/>
            </w:tcBorders>
            <w:vAlign w:val="center"/>
          </w:tcPr>
          <w:p>
            <w:pPr>
              <w:pStyle w:val="Normal"/>
              <w:spacing w:lineRule="auto" w:line="254" w:before="20" w:after="20"/>
              <w:rPr/>
            </w:pPr>
            <w:r>
              <w:rPr>
                <w:rFonts w:ascii="Nimbus Sans" w:hAnsi="Nimbus Sans"/>
                <w:b w:val="false"/>
                <w:color w:val="25221E"/>
                <w:sz w:val="20"/>
              </w:rPr>
              <w:t>Total selected downloads</w:t>
            </w:r>
          </w:p>
        </w:tc>
        <w:tc>
          <w:tcPr>
            <w:tcW w:w="3311" w:type="dxa"/>
            <w:tcBorders>
              <w:top w:val="single" w:sz="4" w:space="0" w:color="C5BAAB"/>
              <w:bottom w:val="single" w:sz="4" w:space="0" w:color="C5BAAB"/>
            </w:tcBorders>
            <w:vAlign w:val="center"/>
          </w:tcPr>
          <w:p>
            <w:pPr>
              <w:pStyle w:val="Normal"/>
              <w:spacing w:lineRule="auto" w:line="254" w:before="20" w:after="20"/>
              <w:rPr/>
            </w:pPr>
            <w:r>
              <w:rPr>
                <w:rFonts w:ascii="Nimbus Sans" w:hAnsi="Nimbus Sans"/>
                <w:b w:val="false"/>
                <w:color w:val="25221E"/>
                <w:sz w:val="20"/>
              </w:rPr>
              <w:t>Arena history plus supplements</w:t>
            </w:r>
          </w:p>
        </w:tc>
        <w:tc>
          <w:tcPr>
            <w:tcW w:w="1729" w:type="dxa"/>
            <w:tcBorders>
              <w:top w:val="single" w:sz="4" w:space="0" w:color="C5BAAB"/>
              <w:bottom w:val="single" w:sz="4" w:space="0" w:color="C5BAAB"/>
            </w:tcBorders>
            <w:vAlign w:val="center"/>
          </w:tcPr>
          <w:p>
            <w:pPr>
              <w:pStyle w:val="Normal"/>
              <w:spacing w:lineRule="auto" w:line="254" w:before="20" w:after="20"/>
              <w:jc w:val="end"/>
              <w:rPr/>
            </w:pPr>
            <w:r>
              <w:rPr>
                <w:rFonts w:ascii="Nimbus Sans" w:hAnsi="Nimbus Sans"/>
                <w:b w:val="false"/>
                <w:color w:val="25221E"/>
                <w:sz w:val="20"/>
              </w:rPr>
              <w:t>62.48</w:t>
            </w:r>
          </w:p>
        </w:tc>
      </w:tr>
    </w:tbl>
    <w:p>
      <w:pPr>
        <w:pStyle w:val="Normal"/>
        <w:spacing w:lineRule="auto" w:line="240" w:before="0" w:after="0"/>
        <w:rPr/>
      </w:pPr>
      <w:r>
        <w:rPr/>
      </w:r>
    </w:p>
    <w:p>
      <w:pPr>
        <w:pStyle w:val="Normal"/>
        <w:rPr/>
      </w:pPr>
      <w:r>
        <w:rPr/>
        <w:t>All sizes use decimal MB. The selected Arena histories contain 1,042,667 rows in total. The text table occupies roughly 133 MB when decoded as Arrow arrays; Delta storage will be measured after implementation.</w:t>
      </w:r>
    </w:p>
    <w:p>
      <w:pPr>
        <w:pStyle w:val="Normal"/>
        <w:rPr/>
      </w:pPr>
      <w:r>
        <w:rPr/>
        <w:t>Plan for 10–15 MB of downloads per daily collection. BenchLM and Epoch currently account for about 10.18 MB before deduplication, while a new Arena publication is provisionally budgeted at 0.1–1 MB. The supplied later Arena samples total about 0.56 MB. Weekly history reconciliation may download another 52 MB. These are transfer estimates, not permanent daily storage growth.</w:t>
      </w:r>
      <w:r>
        <w:br w:type="page"/>
      </w:r>
    </w:p>
    <w:p>
      <w:pPr>
        <w:pStyle w:val="Heading1"/>
        <w:rPr/>
      </w:pPr>
      <w:r>
        <w:rPr/>
        <w:t>3 Security and compliance</w:t>
      </w:r>
    </w:p>
    <w:p>
      <w:pPr>
        <w:pStyle w:val="Heading2"/>
        <w:rPr/>
      </w:pPr>
      <w:r>
        <w:rPr/>
        <w:t>Personal information in the inspected data</w:t>
      </w:r>
    </w:p>
    <w:p>
      <w:pPr>
        <w:pStyle w:val="Normal"/>
        <w:rPr/>
      </w:pPr>
      <w:r>
        <w:rPr/>
        <w:t>The Arena samples contain model names, organizations, aggregate scores, counts, ranks, categories, and publication dates. They contain no participant identities, email addresses, exact IP addresses, account details, or individual prompts. This finding applies to the inspected leaderboard samples, not every dataset published by Arena.</w:t>
      </w:r>
    </w:p>
    <w:p>
      <w:pPr>
        <w:pStyle w:val="Normal"/>
        <w:rPr/>
      </w:pPr>
      <w:r>
        <w:rPr/>
        <w:t>Epoch requires more care. In the downloaded CSV, 2,696 of 3,626 records have a populated author field. A basic email-pattern scan also found 15 occurrences in the raw file. These are candidates for personal information and require review. The full Epoch export will therefore remain outside the public repository.</w:t>
      </w:r>
    </w:p>
    <w:p>
      <w:pPr>
        <w:pStyle w:val="Normal"/>
        <w:rPr/>
      </w:pPr>
      <w:r>
        <w:rPr/>
        <w:t>BenchLM attribution may name individual contributors. Its selected model, benchmark, and pricing samples produced no email-pattern matches, but attribution will still be reviewed before publication. API tariffs describe public service prices rather than an individual’s financial records.</w:t>
      </w:r>
    </w:p>
    <w:p>
      <w:pPr>
        <w:pStyle w:val="Heading2"/>
        <w:rPr/>
      </w:pPr>
      <w:r>
        <w:rPr/>
        <w:t>Proposed handling</w:t>
      </w:r>
    </w:p>
    <w:p>
      <w:pPr>
        <w:pStyle w:val="Normal"/>
        <w:rPr/>
      </w:pPr>
      <w:r>
        <w:rPr/>
        <w:t>Raw files and Bronze records will be stored with access limited to the team and authorized reviewers. Only inspected aggregate Arena samples and small attributed BenchLM samples will be published. Author fields, contact details, and unreviewed free text from Epoch will not be pushed to GitHub.</w:t>
      </w:r>
    </w:p>
    <w:p>
      <w:pPr>
        <w:pStyle w:val="Normal"/>
        <w:rPr/>
      </w:pPr>
      <w:r>
        <w:rPr/>
        <w:t>Silver will omit author names, emails, contact details, and free text that is unnecessary for the analysis. Required source credits will be retained separately in the repository’s data notices. No analytical use of personal identifiers is planned, so dropping them is preferable to hashing them.</w:t>
      </w:r>
    </w:p>
    <w:p>
      <w:pPr>
        <w:pStyle w:val="Normal"/>
        <w:rPr/>
      </w:pPr>
      <w:r>
        <w:rPr/>
        <w:t>Credentials will be kept in environment variables or the workspace’s supported secret mechanism. They will be excluded from Git and execution logs. Public sample checks will be repeated whenever a source changes its schema or adds new fields.</w:t>
      </w:r>
    </w:p>
    <w:p>
      <w:pPr>
        <w:pStyle w:val="Heading2"/>
        <w:rPr/>
      </w:pPr>
      <w:r>
        <w:rPr/>
        <w:t>Licensing and responsible comparisons</w:t>
      </w:r>
    </w:p>
    <w:p>
      <w:pPr>
        <w:pStyle w:val="Normal"/>
        <w:rPr/>
      </w:pPr>
      <w:r>
        <w:rPr/>
        <w:t>Arena data will carry CC BY 4.0 attribution. Epoch will receive the attribution requested in its documentation. BenchLM’s CC BY-NC 4.0 terms will be preserved, and commercial reuse would require a replacement source or an appropriate licence. Upstream notices will remain attached to the data where applicable.</w:t>
      </w:r>
    </w:p>
    <w:p>
      <w:pPr>
        <w:pStyle w:val="Normal"/>
        <w:rPr/>
      </w:pPr>
      <w:r>
        <w:rPr/>
        <w:t>Unknown prices will remain missing. A zero price for a self-hosted model will not be presented as a free hosted API. Estimated scores and publisher-reported results will retain those labels. Preference ratings, benchmark percentages, and agent signals will be analyzed separately, with changes in evaluation methodology made visible.</w:t>
      </w:r>
      <w:r>
        <w:br w:type="page"/>
      </w:r>
    </w:p>
    <w:p>
      <w:pPr>
        <w:pStyle w:val="Heading1"/>
        <w:rPr/>
      </w:pPr>
      <w:r>
        <w:rPr/>
        <w:t>4 Medallion data modeling</w:t>
      </w:r>
    </w:p>
    <w:p>
      <w:pPr>
        <w:pStyle w:val="Heading2"/>
        <w:rPr/>
      </w:pPr>
      <w:r>
        <w:rPr/>
        <w:t>Bronze source records</w:t>
      </w:r>
    </w:p>
    <w:p>
      <w:pPr>
        <w:pStyle w:val="Normal"/>
        <w:rPr/>
      </w:pPr>
      <w:r>
        <w:rPr/>
        <w:t>Bronze will retain source values in Delta tables for Arena evaluations, BenchLM catalogs and prices, and Epoch model metadata. Each record will carry its source, file revision or build, ingestion time, and a stable record identifier. Raw files and their checksums will remain available so that a historical batch can be reproduced.</w:t>
      </w:r>
    </w:p>
    <w:p>
      <w:pPr>
        <w:pStyle w:val="Normal"/>
        <w:rPr/>
      </w:pPr>
      <w:r>
        <w:rPr/>
        <w:t>Arena Parquet, BenchLM JSON, and Epoch CSV will be read through explicit schemas. Raw strings and invalid values will be preserved at this stage rather than silently discarded. Personal fields in Bronze will remain restricted.</w:t>
      </w:r>
    </w:p>
    <w:p>
      <w:pPr>
        <w:pStyle w:val="Heading2"/>
        <w:rPr/>
      </w:pPr>
      <w:r>
        <w:rPr/>
        <w:t>Silver cleaning and validation</w:t>
      </w:r>
    </w:p>
    <w:p>
      <w:pPr>
        <w:pStyle w:val="Normal"/>
        <w:rPr/>
      </w:pPr>
      <w:r>
        <w:rPr/>
        <w:t>Dates will be parsed into date or timestamp fields, with processing times recorded in UTC. Prices will be converted to decimal USD per million tokens. Count fields will be checked for finite, nonnegative whole values before conversion to integers. Missing values will remain distinct from zeros.</w:t>
      </w:r>
    </w:p>
    <w:p>
      <w:pPr>
        <w:pStyle w:val="Normal"/>
        <w:rPr/>
      </w:pPr>
      <w:r>
        <w:rPr/>
        <w:t>Exact duplicates will be removed using stable source keys. Organization names and reviewed model aliases will be standardized while preserving model versions and evaluation settings. The pilot found conflicting web development records under the same model label, category, and date. These groups will be held for review rather than resolved by choosing an arbitrary row.</w:t>
      </w:r>
    </w:p>
    <w:tbl>
      <w:tblPr>
        <w:tblW w:w="9792" w:type="dxa"/>
        <w:jc w:val="center"/>
        <w:tblInd w:w="0" w:type="dxa"/>
        <w:tblLayout w:type="fixed"/>
        <w:tblCellMar>
          <w:top w:w="80" w:type="dxa"/>
          <w:start w:w="80" w:type="dxa"/>
          <w:bottom w:w="80" w:type="dxa"/>
          <w:end w:w="80" w:type="dxa"/>
        </w:tblCellMar>
        <w:tblLook w:val="04a0" w:firstRow="1" w:noVBand="1" w:lastRow="0" w:firstColumn="1" w:lastColumn="0" w:noHBand="0"/>
      </w:tblPr>
      <w:tblGrid>
        <w:gridCol w:w="3096"/>
        <w:gridCol w:w="6696"/>
      </w:tblGrid>
      <w:tr>
        <w:trPr>
          <w:tblHeader w:val="true"/>
          <w:cantSplit/>
        </w:trPr>
        <w:tc>
          <w:tcPr>
            <w:tcW w:w="3096" w:type="dxa"/>
            <w:tcBorders>
              <w:top w:val="single" w:sz="4" w:space="0" w:color="C5BAAB"/>
              <w:bottom w:val="single" w:sz="4" w:space="0" w:color="C5BAAB"/>
            </w:tcBorders>
            <w:shd w:fill="EDE6DC" w:val="clear"/>
            <w:vAlign w:val="center"/>
          </w:tcPr>
          <w:p>
            <w:pPr>
              <w:pStyle w:val="Normal"/>
              <w:spacing w:lineRule="auto" w:line="254" w:before="20" w:after="20"/>
              <w:rPr/>
            </w:pPr>
            <w:r>
              <w:rPr>
                <w:rFonts w:ascii="Nimbus Sans" w:hAnsi="Nimbus Sans"/>
                <w:b/>
                <w:color w:val="25221E"/>
                <w:sz w:val="20"/>
              </w:rPr>
              <w:t>Silver dataset</w:t>
            </w:r>
          </w:p>
        </w:tc>
        <w:tc>
          <w:tcPr>
            <w:tcW w:w="6696" w:type="dxa"/>
            <w:tcBorders>
              <w:top w:val="single" w:sz="4" w:space="0" w:color="C5BAAB"/>
              <w:bottom w:val="single" w:sz="4" w:space="0" w:color="C5BAAB"/>
            </w:tcBorders>
            <w:shd w:fill="EDE6DC" w:val="clear"/>
            <w:vAlign w:val="center"/>
          </w:tcPr>
          <w:p>
            <w:pPr>
              <w:pStyle w:val="Normal"/>
              <w:spacing w:lineRule="auto" w:line="254" w:before="20" w:after="20"/>
              <w:rPr/>
            </w:pPr>
            <w:r>
              <w:rPr>
                <w:rFonts w:ascii="Nimbus Sans" w:hAnsi="Nimbus Sans"/>
                <w:b/>
                <w:color w:val="25221E"/>
                <w:sz w:val="20"/>
              </w:rPr>
              <w:t>Record grain and main contents</w:t>
            </w:r>
          </w:p>
        </w:tc>
      </w:tr>
      <w:tr>
        <w:trPr>
          <w:cantSplit/>
        </w:trPr>
        <w:tc>
          <w:tcPr>
            <w:tcW w:w="3096" w:type="dxa"/>
            <w:tcBorders>
              <w:top w:val="single" w:sz="4" w:space="0" w:color="C5BAAB"/>
              <w:bottom w:val="single" w:sz="4" w:space="0" w:color="C5BAAB"/>
            </w:tcBorders>
            <w:vAlign w:val="center"/>
          </w:tcPr>
          <w:p>
            <w:pPr>
              <w:pStyle w:val="Normal"/>
              <w:spacing w:lineRule="auto" w:line="254" w:before="20" w:after="20"/>
              <w:rPr/>
            </w:pPr>
            <w:r>
              <w:rPr>
                <w:rFonts w:ascii="Nimbus Sans" w:hAnsi="Nimbus Sans"/>
                <w:b w:val="false"/>
                <w:color w:val="25221E"/>
                <w:sz w:val="20"/>
              </w:rPr>
              <w:t>Model catalog and aliases</w:t>
            </w:r>
          </w:p>
        </w:tc>
        <w:tc>
          <w:tcPr>
            <w:tcW w:w="6696" w:type="dxa"/>
            <w:tcBorders>
              <w:top w:val="single" w:sz="4" w:space="0" w:color="C5BAAB"/>
              <w:bottom w:val="single" w:sz="4" w:space="0" w:color="C5BAAB"/>
            </w:tcBorders>
            <w:vAlign w:val="center"/>
          </w:tcPr>
          <w:p>
            <w:pPr>
              <w:pStyle w:val="Normal"/>
              <w:spacing w:lineRule="auto" w:line="254" w:before="20" w:after="20"/>
              <w:rPr/>
            </w:pPr>
            <w:r>
              <w:rPr>
                <w:rFonts w:ascii="Nimbus Sans" w:hAnsi="Nimbus Sans"/>
                <w:b w:val="false"/>
                <w:color w:val="25221E"/>
                <w:sz w:val="20"/>
              </w:rPr>
              <w:t>One source model identity; reviewed canonical mapping, organization, version, and deployment mode.</w:t>
            </w:r>
          </w:p>
        </w:tc>
      </w:tr>
      <w:tr>
        <w:trPr>
          <w:cantSplit/>
        </w:trPr>
        <w:tc>
          <w:tcPr>
            <w:tcW w:w="3096" w:type="dxa"/>
            <w:tcBorders>
              <w:top w:val="single" w:sz="4" w:space="0" w:color="C5BAAB"/>
              <w:bottom w:val="single" w:sz="4" w:space="0" w:color="C5BAAB"/>
            </w:tcBorders>
            <w:vAlign w:val="center"/>
          </w:tcPr>
          <w:p>
            <w:pPr>
              <w:pStyle w:val="Normal"/>
              <w:spacing w:lineRule="auto" w:line="254" w:before="20" w:after="20"/>
              <w:rPr/>
            </w:pPr>
            <w:r>
              <w:rPr>
                <w:rFonts w:ascii="Nimbus Sans" w:hAnsi="Nimbus Sans"/>
                <w:b w:val="false"/>
                <w:color w:val="25221E"/>
                <w:sz w:val="20"/>
              </w:rPr>
              <w:t>Evaluation observations</w:t>
            </w:r>
          </w:p>
        </w:tc>
        <w:tc>
          <w:tcPr>
            <w:tcW w:w="6696" w:type="dxa"/>
            <w:tcBorders>
              <w:top w:val="single" w:sz="4" w:space="0" w:color="C5BAAB"/>
              <w:bottom w:val="single" w:sz="4" w:space="0" w:color="C5BAAB"/>
            </w:tcBorders>
            <w:vAlign w:val="center"/>
          </w:tcPr>
          <w:p>
            <w:pPr>
              <w:pStyle w:val="Normal"/>
              <w:spacing w:lineRule="auto" w:line="254" w:before="20" w:after="20"/>
              <w:rPr/>
            </w:pPr>
            <w:r>
              <w:rPr>
                <w:rFonts w:ascii="Nimbus Sans" w:hAnsi="Nimbus Sans"/>
                <w:b w:val="false"/>
                <w:color w:val="25221E"/>
                <w:sz w:val="20"/>
              </w:rPr>
              <w:t>One model configuration, evaluation category or benchmark, protocol, and publication observation; score, counts, uncertainty, and source.</w:t>
            </w:r>
          </w:p>
        </w:tc>
      </w:tr>
      <w:tr>
        <w:trPr>
          <w:cantSplit/>
        </w:trPr>
        <w:tc>
          <w:tcPr>
            <w:tcW w:w="3096" w:type="dxa"/>
            <w:tcBorders>
              <w:top w:val="single" w:sz="4" w:space="0" w:color="C5BAAB"/>
              <w:bottom w:val="single" w:sz="4" w:space="0" w:color="C5BAAB"/>
            </w:tcBorders>
            <w:vAlign w:val="center"/>
          </w:tcPr>
          <w:p>
            <w:pPr>
              <w:pStyle w:val="Normal"/>
              <w:spacing w:lineRule="auto" w:line="254" w:before="20" w:after="20"/>
              <w:rPr/>
            </w:pPr>
            <w:r>
              <w:rPr>
                <w:rFonts w:ascii="Nimbus Sans" w:hAnsi="Nimbus Sans"/>
                <w:b w:val="false"/>
                <w:color w:val="25221E"/>
                <w:sz w:val="20"/>
              </w:rPr>
              <w:t>Benchmark catalog</w:t>
            </w:r>
          </w:p>
        </w:tc>
        <w:tc>
          <w:tcPr>
            <w:tcW w:w="6696" w:type="dxa"/>
            <w:tcBorders>
              <w:top w:val="single" w:sz="4" w:space="0" w:color="C5BAAB"/>
              <w:bottom w:val="single" w:sz="4" w:space="0" w:color="C5BAAB"/>
            </w:tcBorders>
            <w:vAlign w:val="center"/>
          </w:tcPr>
          <w:p>
            <w:pPr>
              <w:pStyle w:val="Normal"/>
              <w:spacing w:lineRule="auto" w:line="254" w:before="20" w:after="20"/>
              <w:rPr/>
            </w:pPr>
            <w:r>
              <w:rPr>
                <w:rFonts w:ascii="Nimbus Sans" w:hAnsi="Nimbus Sans"/>
                <w:b w:val="false"/>
                <w:color w:val="25221E"/>
                <w:sz w:val="20"/>
              </w:rPr>
              <w:t>One benchmark definition and version; metric, unit, direction, and evaluation method.</w:t>
            </w:r>
          </w:p>
        </w:tc>
      </w:tr>
      <w:tr>
        <w:trPr>
          <w:cantSplit/>
        </w:trPr>
        <w:tc>
          <w:tcPr>
            <w:tcW w:w="3096" w:type="dxa"/>
            <w:tcBorders>
              <w:top w:val="single" w:sz="4" w:space="0" w:color="C5BAAB"/>
              <w:bottom w:val="single" w:sz="4" w:space="0" w:color="C5BAAB"/>
            </w:tcBorders>
            <w:vAlign w:val="center"/>
          </w:tcPr>
          <w:p>
            <w:pPr>
              <w:pStyle w:val="Normal"/>
              <w:spacing w:lineRule="auto" w:line="254" w:before="20" w:after="20"/>
              <w:rPr/>
            </w:pPr>
            <w:r>
              <w:rPr>
                <w:rFonts w:ascii="Nimbus Sans" w:hAnsi="Nimbus Sans"/>
                <w:b w:val="false"/>
                <w:color w:val="25221E"/>
                <w:sz w:val="20"/>
              </w:rPr>
              <w:t>Pricing observations</w:t>
            </w:r>
          </w:p>
        </w:tc>
        <w:tc>
          <w:tcPr>
            <w:tcW w:w="6696" w:type="dxa"/>
            <w:tcBorders>
              <w:top w:val="single" w:sz="4" w:space="0" w:color="C5BAAB"/>
              <w:bottom w:val="single" w:sz="4" w:space="0" w:color="C5BAAB"/>
            </w:tcBorders>
            <w:vAlign w:val="center"/>
          </w:tcPr>
          <w:p>
            <w:pPr>
              <w:pStyle w:val="Normal"/>
              <w:spacing w:lineRule="auto" w:line="254" w:before="20" w:after="20"/>
              <w:rPr/>
            </w:pPr>
            <w:r>
              <w:rPr>
                <w:rFonts w:ascii="Nimbus Sans" w:hAnsi="Nimbus Sans"/>
                <w:b w:val="false"/>
                <w:color w:val="25221E"/>
                <w:sz w:val="20"/>
              </w:rPr>
              <w:t>One source SKU and tariff observation; input and output prices, currency, deployment scope, and observation time.</w:t>
            </w:r>
          </w:p>
        </w:tc>
      </w:tr>
      <w:tr>
        <w:trPr>
          <w:cantSplit/>
        </w:trPr>
        <w:tc>
          <w:tcPr>
            <w:tcW w:w="3096" w:type="dxa"/>
            <w:tcBorders>
              <w:top w:val="single" w:sz="4" w:space="0" w:color="C5BAAB"/>
              <w:bottom w:val="single" w:sz="4" w:space="0" w:color="C5BAAB"/>
            </w:tcBorders>
            <w:vAlign w:val="center"/>
          </w:tcPr>
          <w:p>
            <w:pPr>
              <w:pStyle w:val="Normal"/>
              <w:spacing w:lineRule="auto" w:line="254" w:before="20" w:after="20"/>
              <w:rPr/>
            </w:pPr>
            <w:r>
              <w:rPr>
                <w:rFonts w:ascii="Nimbus Sans" w:hAnsi="Nimbus Sans"/>
                <w:b w:val="false"/>
                <w:color w:val="25221E"/>
                <w:sz w:val="20"/>
              </w:rPr>
              <w:t>Release observations</w:t>
            </w:r>
          </w:p>
        </w:tc>
        <w:tc>
          <w:tcPr>
            <w:tcW w:w="6696" w:type="dxa"/>
            <w:tcBorders>
              <w:top w:val="single" w:sz="4" w:space="0" w:color="C5BAAB"/>
              <w:bottom w:val="single" w:sz="4" w:space="0" w:color="C5BAAB"/>
            </w:tcBorders>
            <w:vAlign w:val="center"/>
          </w:tcPr>
          <w:p>
            <w:pPr>
              <w:pStyle w:val="Normal"/>
              <w:spacing w:lineRule="auto" w:line="254" w:before="20" w:after="20"/>
              <w:rPr/>
            </w:pPr>
            <w:r>
              <w:rPr>
                <w:rFonts w:ascii="Nimbus Sans" w:hAnsi="Nimbus Sans"/>
                <w:b w:val="false"/>
                <w:color w:val="25221E"/>
                <w:sz w:val="20"/>
              </w:rPr>
              <w:t>One model metadata observation; release date, organization, development estimates, and provenance.</w:t>
            </w:r>
          </w:p>
        </w:tc>
      </w:tr>
    </w:tbl>
    <w:p>
      <w:pPr>
        <w:pStyle w:val="Normal"/>
        <w:spacing w:lineRule="auto" w:line="240" w:before="0" w:after="0"/>
        <w:rPr/>
      </w:pPr>
      <w:r>
        <w:rPr/>
      </w:r>
    </w:p>
    <w:p>
      <w:pPr>
        <w:pStyle w:val="Heading2"/>
        <w:rPr/>
      </w:pPr>
      <w:r>
        <w:rPr/>
        <w:t>Gold analytical model</w:t>
      </w:r>
    </w:p>
    <w:p>
      <w:pPr>
        <w:pStyle w:val="Normal"/>
        <w:rPr/>
      </w:pPr>
      <w:r>
        <w:rPr/>
        <w:t>Gold will organize evaluation and pricing facts around dimensions for model configuration, organization, benchmark, date, methodology, and workload. Consolidated tables will support current model comparisons, benchmark frontier histories, workload cost scenarios, monthly release counts, and evidence coverage.</w:t>
      </w:r>
    </w:p>
    <w:p>
      <w:pPr>
        <w:pStyle w:val="Normal"/>
        <w:rPr/>
      </w:pPr>
      <w:r>
        <w:rPr/>
        <w:t>Prices will be joined to compatible model configurations using their observation dates. Historical costs will use a price observed at or before the analytical date; missing historical prices will remain unknown. Scores from different metric families will not be combined into a universal ranking.</w:t>
      </w:r>
      <w:r>
        <w:br w:type="page"/>
      </w:r>
    </w:p>
    <w:p>
      <w:pPr>
        <w:pStyle w:val="Heading1"/>
        <w:rPr/>
      </w:pPr>
      <w:r>
        <w:rPr/>
        <w:t>5 Business intelligence dashboard</w:t>
      </w:r>
    </w:p>
    <w:p>
      <w:pPr>
        <w:pStyle w:val="Normal"/>
        <w:rPr/>
      </w:pPr>
      <w:r>
        <w:rPr/>
        <w:t>The primary dashboard will use Databricks SQL over the Gold tables. A local dashboard using exported Gold data is the free fallback if workspace features prevent the preferred approach. Users will be able to filter by date, source, benchmark or evaluation category, organization, model configuration, and workload.</w:t>
      </w:r>
    </w:p>
    <w:p>
      <w:pPr>
        <w:pStyle w:val="Heading2"/>
        <w:rPr/>
      </w:pPr>
      <w:r>
        <w:rPr/>
        <w:t>Capability and estimated cost</w:t>
      </w:r>
    </w:p>
    <w:p>
      <w:pPr>
        <w:pStyle w:val="Normal"/>
        <w:rPr/>
      </w:pPr>
      <w:r>
        <w:rPr/>
        <w:t>A scatterplot will place a comparable evaluation score against estimated workload cost. Each point will represent a reviewed model configuration with a compatible pricing record. Separate panels will be used for different benchmarks or metric families.</w:t>
      </w:r>
    </w:p>
    <w:p>
      <w:pPr>
        <w:pStyle w:val="Normal"/>
        <w:rPr/>
      </w:pPr>
      <w:r>
        <w:rPr/>
        <w:t>This view answers which qualifying models offer a better capability and cost trade-off for a particular workload. It will identify non-dominated alternatives: models for which no eligible alternative has both a better score and a lower estimated cost.</w:t>
      </w:r>
    </w:p>
    <w:p>
      <w:pPr>
        <w:pStyle w:val="Heading2"/>
        <w:rPr/>
      </w:pPr>
      <w:r>
        <w:rPr/>
        <w:t>Published evaluation frontier over time</w:t>
      </w:r>
    </w:p>
    <w:p>
      <w:pPr>
        <w:pStyle w:val="Normal"/>
        <w:rPr/>
      </w:pPr>
      <w:r>
        <w:rPr/>
        <w:t>A timeline will show the best published result or leading group within a comparable evaluation series. Source publication dates and methodology changes will be shown explicitly. Text preference ratings and agent evaluations will have separate views.</w:t>
      </w:r>
    </w:p>
    <w:p>
      <w:pPr>
        <w:pStyle w:val="Normal"/>
        <w:rPr/>
      </w:pPr>
      <w:r>
        <w:rPr/>
        <w:t>This view answers how the strongest published results have changed and when new models entered the leading group. It will also show the number of qualifying observations so that a sparse period is not mistaken for stalled progress.</w:t>
      </w:r>
    </w:p>
    <w:p>
      <w:pPr>
        <w:pStyle w:val="Heading2"/>
        <w:rPr/>
      </w:pPr>
      <w:r>
        <w:rPr/>
        <w:t>Evidence coverage</w:t>
      </w:r>
    </w:p>
    <w:p>
      <w:pPr>
        <w:pStyle w:val="Normal"/>
        <w:rPr/>
      </w:pPr>
      <w:r>
        <w:rPr/>
        <w:t>A matrix will show which models have usable benchmark results, verified configurations, source provenance, and matched prices. Summary metrics will report missing prices, reviewed identity matches, comparable result counts, and the date of the latest successful collection.</w:t>
      </w:r>
    </w:p>
    <w:p>
      <w:pPr>
        <w:pStyle w:val="Normal"/>
        <w:rPr/>
      </w:pPr>
      <w:r>
        <w:rPr/>
        <w:t>This view answers where the available evidence is sufficient for comparison and where a shortlist still requires further evaluation. Unmatched or incomplete records will remain visible rather than disappearing from the dashboard.</w:t>
      </w:r>
    </w:p>
    <w:p>
      <w:pPr>
        <w:pStyle w:val="Heading2"/>
        <w:rPr/>
      </w:pPr>
      <w:r>
        <w:rPr/>
        <w:t>Cost assumptions</w:t>
      </w:r>
    </w:p>
    <w:p>
      <w:pPr>
        <w:pStyle w:val="Normal"/>
        <w:rPr/>
      </w:pPr>
      <w:r>
        <w:rPr/>
        <w:t>Monthly token expenditure will be estimated from request volume, input tokens, billable output tokens, and the corresponding tariffs. Cached input will be included only where its tariff is known. Billable reasoning tokens will be counted once.</w:t>
      </w:r>
    </w:p>
    <w:p>
      <w:pPr>
        <w:pStyle w:val="Normal"/>
        <w:rPr/>
      </w:pPr>
      <w:r>
        <w:rPr/>
        <w:t>Initial scenarios will use 10,000 requests per month: short chat with 2,000 input and 500 output tokens, document analysis with 20,000 input and 2,000 output tokens, and coding with 8,000 input and 3,000 output tokens. Users can change these assumptions. Tool charges, retries, subscriptions, taxes, hardware, and migration effort are outside the base estimate.</w:t>
      </w:r>
    </w:p>
    <w:p>
      <w:pPr>
        <w:pStyle w:val="Normal"/>
        <w:rPr/>
      </w:pPr>
      <w:r>
        <w:rPr/>
        <w:t>The dashboard will show source links, observation dates, units, and exclusions beside the relevant visuals. It will support decisions based on published evidence without presenting benchmark results as proof of production suitability.</w:t>
      </w:r>
      <w:r>
        <w:br w:type="page"/>
      </w:r>
    </w:p>
    <w:p>
      <w:pPr>
        <w:pStyle w:val="Heading1"/>
        <w:rPr/>
      </w:pPr>
      <w:r>
        <w:rPr/>
        <w:t>6 Engineering setup and FinOps</w:t>
      </w:r>
    </w:p>
    <w:p>
      <w:pPr>
        <w:pStyle w:val="Heading2"/>
        <w:rPr/>
      </w:pPr>
      <w:r>
        <w:rPr/>
        <w:t>Spark environment and automation</w:t>
      </w:r>
    </w:p>
    <w:p>
      <w:pPr>
        <w:pStyle w:val="Normal"/>
        <w:rPr/>
      </w:pPr>
      <w:r>
        <w:rPr/>
        <w:t>Databricks Free Edition is the proposed environment for PySpark processing and Delta storage. It provides the distributed Spark platform needed for the Bronze, Silver, and Gold transformations without requiring a paid inference API or GPU. Its current limits include compute quotas and restricted outbound internet access.</w:t>
      </w:r>
    </w:p>
    <w:p>
      <w:pPr>
        <w:pStyle w:val="Normal"/>
        <w:spacing w:before="0" w:after="100"/>
        <w:rPr/>
      </w:pPr>
      <w:hyperlink r:id="rId19">
        <w:r>
          <w:rPr>
            <w:rStyle w:val="Style"/>
            <w:color w:val="704A34"/>
            <w:u w:val="single"/>
          </w:rPr>
          <w:t>Databricks Free Edition limitations</w:t>
        </w:r>
      </w:hyperlink>
    </w:p>
    <w:p>
      <w:pPr>
        <w:pStyle w:val="Normal"/>
        <w:rPr/>
      </w:pPr>
      <w:r>
        <w:rPr/>
        <w:t>Source access will be tested before scheduling. If outbound restrictions block extraction, an automated local collector will download and upload completed batches through a supported authenticated route. Credentials will remain outside Git. Spark will perform all lakehouse transformations. Azure is the fallback if this arrangement cannot meet the required automated workflow, subject to existing student credits and controls that prevent charges.</w:t>
      </w:r>
    </w:p>
    <w:p>
      <w:pPr>
        <w:pStyle w:val="Heading2"/>
        <w:rPr/>
      </w:pPr>
      <w:r>
        <w:rPr/>
        <w:t>Repository and collaboration</w:t>
      </w:r>
    </w:p>
    <w:p>
      <w:pPr>
        <w:pStyle w:val="Normal"/>
        <w:rPr/>
      </w:pPr>
      <w:r>
        <w:rPr/>
        <w:t xml:space="preserve">GitHub repository link: </w:t>
      </w:r>
      <w:hyperlink r:id="rId20">
        <w:r>
          <w:rPr>
            <w:rStyle w:val="Hyperlink"/>
          </w:rPr>
          <w:t>https://github.com/aliamirchoudhary/Frontier-AI-Observability</w:t>
        </w:r>
      </w:hyperlink>
    </w:p>
    <w:p>
      <w:pPr>
        <w:pStyle w:val="Normal"/>
        <w:rPr/>
      </w:pPr>
      <w:r>
        <w:rPr/>
      </w:r>
    </w:p>
    <w:p>
      <w:pPr>
        <w:pStyle w:val="Normal"/>
        <w:rPr/>
      </w:pPr>
      <w:r>
        <w:rPr/>
        <w:t>Large raw histories, restricted Epoch data, credentials, and temporary exports will remain outside version control. The sample manifest will identify the source revision and checksums so that the published samples can be checked against their origin.</w:t>
      </w:r>
    </w:p>
    <w:p>
      <w:pPr>
        <w:pStyle w:val="Heading2"/>
        <w:rPr/>
      </w:pPr>
      <w:r>
        <w:rPr/>
        <w:t>Keeping expenditure at zero</w:t>
      </w:r>
    </w:p>
    <w:p>
      <w:pPr>
        <w:pStyle w:val="Normal"/>
        <w:rPr/>
      </w:pPr>
      <w:r>
        <w:rPr/>
        <w:t>Development will start with the small supplied samples. The full historical baseline will run once after those checks pass. Daily polling and weekly reconciliation will replace continuous collection. Unchanged files will be skipped, and only affected observations will be processed.</w:t>
      </w:r>
    </w:p>
    <w:p>
      <w:pPr>
        <w:pStyle w:val="Normal"/>
        <w:rPr/>
      </w:pPr>
      <w:r>
        <w:rPr/>
        <w:t>We will track downloaded bytes, retained storage, row counts, and execution duration. An internal 2 GB storage target will cover retained raw versions, Delta tables, logs, and rejected records. This target is a team planning limit, not a provider allowance. Redundant downloads will be removed, while revisions needed for reproducibility will be retained.</w:t>
      </w:r>
    </w:p>
    <w:p>
      <w:pPr>
        <w:pStyle w:val="Normal"/>
        <w:rPr/>
      </w:pPr>
      <w:r>
        <w:rPr/>
        <w:t>Small tables will initially remain unpartitioned to avoid creating many tiny files. Jobs will have bounded execution times and retries. If the free compute allowance is exhausted, optional refreshes will be deferred. No paid trial, billing resource, or model endpoint is required by the primary plan.</w:t>
      </w:r>
    </w:p>
    <w:p>
      <w:pPr>
        <w:pStyle w:val="Heading2"/>
        <w:keepNext w:val="true"/>
        <w:keepLines/>
        <w:spacing w:before="180" w:after="140"/>
        <w:rPr/>
      </w:pPr>
      <w:r>
        <w:rPr/>
      </w:r>
    </w:p>
    <w:sectPr>
      <w:type w:val="nextPage"/>
      <w:pgSz w:w="12240" w:h="15840"/>
      <w:pgMar w:left="1152" w:right="1152" w:gutter="0" w:header="0" w:top="936" w:footer="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Bitstream Charter">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Nimbus Sans">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0" w:before="0" w:after="100"/>
      <w:jc w:val="start"/>
    </w:pPr>
    <w:rPr>
      <w:rFonts w:ascii="Bitstream Charter" w:hAnsi="Bitstream Charter" w:eastAsia="Bitstream Charter" w:cs="Bitstream Charter"/>
      <w:color w:val="25221E"/>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80" w:after="140"/>
      <w:outlineLvl w:val="0"/>
    </w:pPr>
    <w:rPr>
      <w:rFonts w:ascii="Bitstream Charter" w:hAnsi="Bitstream Charter" w:eastAsia="Bitstream Charter" w:cs="Bitstream Charter"/>
      <w:b/>
      <w:bCs/>
      <w:color w:val="704A34"/>
      <w:sz w:val="36"/>
      <w:szCs w:val="28"/>
    </w:rPr>
  </w:style>
  <w:style w:type="paragraph" w:styleId="Heading2">
    <w:name w:val="heading 2"/>
    <w:basedOn w:val="Normal"/>
    <w:next w:val="Normal"/>
    <w:link w:val="Heading2Char"/>
    <w:uiPriority w:val="9"/>
    <w:unhideWhenUsed/>
    <w:qFormat/>
    <w:rsid w:val="00fc693f"/>
    <w:pPr>
      <w:keepNext w:val="true"/>
      <w:keepLines/>
      <w:spacing w:before="180" w:after="140"/>
      <w:outlineLvl w:val="1"/>
    </w:pPr>
    <w:rPr>
      <w:rFonts w:ascii="Bitstream Charter" w:hAnsi="Bitstream Charter" w:eastAsia="Bitstream Charter" w:cs="Bitstream Charter"/>
      <w:b/>
      <w:bCs/>
      <w:color w:val="704A34"/>
      <w:sz w:val="25"/>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spacing w:lineRule="auto" w:line="240" w:before="0" w:after="240"/>
      <w:contextualSpacing/>
    </w:pPr>
    <w:rPr>
      <w:rFonts w:ascii="Bitstream Charter" w:hAnsi="Bitstream Charter" w:eastAsia="Bitstream Charter" w:cs="Bitstream Charter"/>
      <w:color w:val="000000"/>
      <w:spacing w:val="5"/>
      <w:kern w:val="2"/>
      <w:sz w:val="58"/>
      <w:szCs w:val="52"/>
    </w:rPr>
  </w:style>
  <w:style w:type="paragraph" w:styleId="Subtitle">
    <w:name w:val="Subtitle"/>
    <w:basedOn w:val="Normal"/>
    <w:next w:val="Normal"/>
    <w:link w:val="SubtitleChar"/>
    <w:uiPriority w:val="11"/>
    <w:qFormat/>
    <w:rsid w:val="00fc693f"/>
    <w:pPr/>
    <w:rPr>
      <w:rFonts w:ascii="Bitstream Charter" w:hAnsi="Bitstream Charter" w:eastAsia="Bitstream Charter" w:cs="Bitstream Charter"/>
      <w:i/>
      <w:iCs/>
      <w:color w:val="25221E"/>
      <w:spacing w:val="15"/>
      <w:sz w:val="24"/>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start="720"/>
      <w:contextualSpacing/>
    </w:pPr>
    <w:rPr/>
  </w:style>
  <w:style w:type="paragraph" w:styleId="List3">
    <w:name w:val="List 3"/>
    <w:basedOn w:val="Normal"/>
    <w:uiPriority w:val="99"/>
    <w:unhideWhenUsed/>
    <w:qFormat/>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huggingface.co/datasets/lmarena-ai/leaderboard-dataset" TargetMode="External"/><Relationship Id="rId3" Type="http://schemas.openxmlformats.org/officeDocument/2006/relationships/hyperlink" Target="https://huggingface.co/api/datasets/lmarena-ai/leaderboard-dataset" TargetMode="External"/><Relationship Id="rId4" Type="http://schemas.openxmlformats.org/officeDocument/2006/relationships/hyperlink" Target="https://huggingface.co/datasets/lmarena-ai/leaderboard-dataset/resolve/47c3ea6a706f1cde7bc422ba27f8e935cc4d48da/text_style_control/full-00000-of-00001.parquet" TargetMode="External"/><Relationship Id="rId5" Type="http://schemas.openxmlformats.org/officeDocument/2006/relationships/hyperlink" Target="https://huggingface.co/datasets/lmarena-ai/leaderboard-dataset/resolve/47c3ea6a706f1cde7bc422ba27f8e935cc4d48da/text_style_control/latest-00000-of-00001.parquet" TargetMode="External"/><Relationship Id="rId6" Type="http://schemas.openxmlformats.org/officeDocument/2006/relationships/hyperlink" Target="https://benchlm.ai/data/models.json" TargetMode="External"/><Relationship Id="rId7" Type="http://schemas.openxmlformats.org/officeDocument/2006/relationships/hyperlink" Target="https://benchlm.ai/data/benchmarks.json" TargetMode="External"/><Relationship Id="rId8" Type="http://schemas.openxmlformats.org/officeDocument/2006/relationships/hyperlink" Target="https://benchlm.ai/data/pricing.json" TargetMode="External"/><Relationship Id="rId9" Type="http://schemas.openxmlformats.org/officeDocument/2006/relationships/hyperlink" Target="https://benchlm.ai/data" TargetMode="External"/><Relationship Id="rId10" Type="http://schemas.openxmlformats.org/officeDocument/2006/relationships/hyperlink" Target="https://epoch.ai/data/all_ai_models.csv" TargetMode="External"/><Relationship Id="rId11" Type="http://schemas.openxmlformats.org/officeDocument/2006/relationships/hyperlink" Target="https://epoch.ai/data/ai-models" TargetMode="External"/><Relationship Id="rId12" Type="http://schemas.openxmlformats.org/officeDocument/2006/relationships/hyperlink" Target="https://epoch.ai/data/ai-models-documentation/database-updates" TargetMode="External"/><Relationship Id="rId13" Type="http://schemas.openxmlformats.org/officeDocument/2006/relationships/hyperlink" Target="https://artificialanalysis.ai/data-api" TargetMode="External"/><Relationship Id="rId14" Type="http://schemas.openxmlformats.org/officeDocument/2006/relationships/hyperlink" Target="https://huggingface.co/collections/OpenEvals/archived-open-llm-leaderboard-2024-2025" TargetMode="External"/><Relationship Id="rId15" Type="http://schemas.openxmlformats.org/officeDocument/2006/relationships/hyperlink" Target="https://huggingface.co/datasets/OpenEvals/leaderboard-data" TargetMode="External"/><Relationship Id="rId16" Type="http://schemas.openxmlformats.org/officeDocument/2006/relationships/hyperlink" Target="https://github.com/swe-bench/experiments" TargetMode="External"/><Relationship Id="rId17" Type="http://schemas.openxmlformats.org/officeDocument/2006/relationships/hyperlink" Target="https://openrouter.ai/docs/api/api-reference/models/list-all-models-and-their-properties" TargetMode="External"/><Relationship Id="rId18" Type="http://schemas.openxmlformats.org/officeDocument/2006/relationships/hyperlink" Target="https://openrouter.ai/terms" TargetMode="External"/><Relationship Id="rId19" Type="http://schemas.openxmlformats.org/officeDocument/2006/relationships/hyperlink" Target="https://docs.databricks.com/aws/en/getting-started/free-edition-limitations" TargetMode="External"/><Relationship Id="rId20" Type="http://schemas.openxmlformats.org/officeDocument/2006/relationships/hyperlink" Target="https://github.com/aliamirchoudhary/Frontier-AI-Observability" TargetMode="Externa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LibreOffice/26.2.6.3$Windows_X86_64 LibreOffice_project/8221e31b3ac356a1623c672912a3d2b492f7e3d1</Application>
  <AppVersion>15.0000</AppVersion>
  <Pages>8</Pages>
  <Words>2666</Words>
  <Characters>15927</Characters>
  <CharactersWithSpaces>18432</CharactersWithSpaces>
  <Paragraphs>159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Muhammad Ali Aamir and Muhammad Zohaib</dc:creator>
  <dc:description>generated by python-docx</dc:description>
  <dc:language>en-US</dc:language>
  <cp:lastModifiedBy/>
  <dcterms:modified xsi:type="dcterms:W3CDTF">2026-10-01T23:59:36Z</dcterms:modified>
  <cp:revision>2</cp:revision>
  <dc:subject>Phase 1 project proposal</dc:subject>
  <dc:title>Frontier AI Observatory Proposal</dc:title>
</cp:coreProperties>
</file>

<file path=docProps/custom.xml><?xml version="1.0" encoding="utf-8"?>
<Properties xmlns="http://schemas.openxmlformats.org/officeDocument/2006/custom-properties" xmlns:vt="http://schemas.openxmlformats.org/officeDocument/2006/docPropsVTypes"/>
</file>