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360"/>
        <w:jc w:val="center"/>
      </w:pPr>
      <w:r>
        <w:rPr>
          <w:rFonts w:ascii="Calibri" w:hAnsi="Calibri"/>
          <w:b/>
          <w:i w:val="0"/>
          <w:color w:val="A67C2D"/>
          <w:sz w:val="22"/>
        </w:rPr>
        <w:t>ALI SWING SUITE</w:t>
      </w:r>
    </w:p>
    <w:p>
      <w:pPr>
        <w:spacing w:after="100"/>
        <w:jc w:val="center"/>
      </w:pPr>
      <w:r>
        <w:rPr>
          <w:rFonts w:ascii="Calibri" w:hAnsi="Calibri"/>
          <w:b/>
          <w:i w:val="0"/>
          <w:color w:val="17324D"/>
          <w:sz w:val="60"/>
        </w:rPr>
        <w:t>Bullish Participation</w:t>
      </w:r>
    </w:p>
    <w:p>
      <w:pPr>
        <w:spacing w:after="560"/>
        <w:jc w:val="center"/>
      </w:pPr>
      <w:r>
        <w:rPr>
          <w:rFonts w:ascii="Calibri" w:hAnsi="Calibri"/>
          <w:b/>
          <w:i w:val="0"/>
          <w:color w:val="2F6F73"/>
          <w:sz w:val="36"/>
        </w:rPr>
        <w:t>v3 Training Manual</w:t>
      </w:r>
    </w:p>
    <w:p>
      <w:pPr>
        <w:spacing w:line="288" w:lineRule="auto" w:after="1400"/>
        <w:jc w:val="center"/>
      </w:pPr>
      <w:r>
        <w:rPr>
          <w:rFonts w:ascii="Calibri" w:hAnsi="Calibri"/>
          <w:b w:val="0"/>
          <w:i/>
          <w:color w:val="66717C"/>
          <w:sz w:val="24"/>
        </w:rPr>
        <w:t>A disciplined framework for trend selection, pullback timing,</w:t>
        <w:br/>
        <w:t>contract quality, and repeatable review</w:t>
      </w:r>
    </w:p>
    <w:p>
      <w:pPr>
        <w:jc w:val="center"/>
      </w:pPr>
      <w:r>
        <w:rPr>
          <w:rFonts w:ascii="Calibri" w:hAnsi="Calibri"/>
          <w:b/>
          <w:i w:val="0"/>
          <w:color w:val="66717C"/>
          <w:sz w:val="21"/>
        </w:rPr>
        <w:t>Version 3.0 | July 2026</w:t>
      </w:r>
    </w:p>
    <w:p>
      <w:r>
        <w:br w:type="page"/>
      </w:r>
    </w:p>
    <w:p>
      <w:pPr>
        <w:pStyle w:val="Heading1"/>
        <w:spacing w:before="0"/>
      </w:pPr>
      <w:r>
        <w:t>Operating Purpose</w:t>
      </w:r>
    </w:p>
    <w:p>
      <w:r>
        <w:rPr>
          <w:rFonts w:ascii="Calibri" w:hAnsi="Calibri"/>
          <w:b w:val="0"/>
          <w:i w:val="0"/>
          <w:color w:val="17324D"/>
          <w:sz w:val="22"/>
        </w:rPr>
        <w:t>This manual teaches a bullish-only options research process built around healthy markets, leading stocks, controlled entries, and contracts with enough time and delta to participate without requiring an immediate explosive move.</w:t>
      </w:r>
    </w:p>
    <w:p>
      <w:pPr>
        <w:shd w:fill="F4F6F9"/>
        <w:spacing w:before="140" w:after="140" w:line="288" w:lineRule="auto"/>
        <w:ind w:left="173" w:right="173"/>
      </w:pPr>
      <w:r>
        <w:rPr>
          <w:rFonts w:ascii="Calibri" w:hAnsi="Calibri"/>
          <w:b/>
          <w:i w:val="0"/>
          <w:color w:val="2F6F73"/>
          <w:sz w:val="21"/>
        </w:rPr>
        <w:t xml:space="preserve">Educational use only: </w:t>
      </w:r>
      <w:r>
        <w:rPr>
          <w:rFonts w:ascii="Calibri" w:hAnsi="Calibri"/>
          <w:b w:val="0"/>
          <w:i w:val="0"/>
          <w:color w:val="17324D"/>
          <w:sz w:val="21"/>
        </w:rPr>
        <w:t>Options can lose the full premium. Long-term upward market drift does not guarantee appreciation during a particular option's life.</w:t>
      </w:r>
    </w:p>
    <w:p>
      <w:pPr>
        <w:spacing w:after="40"/>
      </w:pPr>
    </w:p>
    <w:p>
      <w:pPr>
        <w:pStyle w:val="Heading1"/>
      </w:pPr>
      <w:r>
        <w:t>1. The Doctrine</w:t>
      </w:r>
    </w:p>
    <w:p>
      <w:r>
        <w:rPr>
          <w:rFonts w:ascii="Calibri" w:hAnsi="Calibri"/>
          <w:b w:val="0"/>
          <w:i w:val="0"/>
          <w:color w:val="17324D"/>
          <w:sz w:val="22"/>
        </w:rPr>
        <w:t>The market has historically rewarded long-term ownership of productive assets, but it does not rise in a straight line. This system uses that bullish tendency as a directional preference, not as permission to ignore timing, valuation of the contract, or risk.</w:t>
      </w:r>
    </w:p>
    <w:p>
      <w:r>
        <w:rPr>
          <w:rFonts w:ascii="Calibri" w:hAnsi="Calibri"/>
          <w:b w:val="0"/>
          <w:i w:val="0"/>
          <w:color w:val="17324D"/>
          <w:sz w:val="22"/>
        </w:rPr>
        <w:t>The objective is simple: participate in healthy uptrends when price offers a controlled entry. Do not predict every candle. Do not chase every breakout. Do not treat an option as stock with leverage. Wait until the market, the stock, the setup, and the contract agree.</w:t>
      </w:r>
    </w:p>
    <w:p>
      <w:pPr>
        <w:pStyle w:val="Heading2"/>
      </w:pPr>
      <w:r>
        <w:t>Standing Principles</w:t>
      </w:r>
    </w:p>
    <w:p>
      <w:pPr>
        <w:spacing w:after="80" w:line="300" w:lineRule="auto"/>
        <w:numPr>
          <w:ilvl w:val="0"/>
          <w:numId w:val="10"/>
        </w:numPr>
      </w:pPr>
      <w:r>
        <w:rPr>
          <w:rFonts w:ascii="Calibri" w:hAnsi="Calibri"/>
          <w:b w:val="0"/>
          <w:i w:val="0"/>
          <w:color w:val="17324D"/>
          <w:sz w:val="22"/>
        </w:rPr>
        <w:t>Bullish only. Cash is a valid position when the environment is hostile.</w:t>
      </w:r>
    </w:p>
    <w:p>
      <w:pPr>
        <w:spacing w:after="80" w:line="300" w:lineRule="auto"/>
        <w:numPr>
          <w:ilvl w:val="0"/>
          <w:numId w:val="10"/>
        </w:numPr>
      </w:pPr>
      <w:r>
        <w:rPr>
          <w:rFonts w:ascii="Calibri" w:hAnsi="Calibri"/>
          <w:b w:val="0"/>
          <w:i w:val="0"/>
          <w:color w:val="17324D"/>
          <w:sz w:val="22"/>
        </w:rPr>
        <w:t>Prefer controlled pullbacks in established uptrends.</w:t>
      </w:r>
    </w:p>
    <w:p>
      <w:pPr>
        <w:spacing w:after="80" w:line="300" w:lineRule="auto"/>
        <w:numPr>
          <w:ilvl w:val="0"/>
          <w:numId w:val="10"/>
        </w:numPr>
      </w:pPr>
      <w:r>
        <w:rPr>
          <w:rFonts w:ascii="Calibri" w:hAnsi="Calibri"/>
          <w:b w:val="0"/>
          <w:i w:val="0"/>
          <w:color w:val="17324D"/>
          <w:sz w:val="22"/>
        </w:rPr>
        <w:t>Use breakouts only when they are current, confirmed, and not extended.</w:t>
      </w:r>
    </w:p>
    <w:p>
      <w:pPr>
        <w:spacing w:after="80" w:line="300" w:lineRule="auto"/>
        <w:numPr>
          <w:ilvl w:val="0"/>
          <w:numId w:val="10"/>
        </w:numPr>
      </w:pPr>
      <w:r>
        <w:rPr>
          <w:rFonts w:ascii="Calibri" w:hAnsi="Calibri"/>
          <w:b w:val="0"/>
          <w:i w:val="0"/>
          <w:color w:val="17324D"/>
          <w:sz w:val="22"/>
        </w:rPr>
        <w:t>The daily chart selects; the four-hour chart times.</w:t>
      </w:r>
    </w:p>
    <w:p>
      <w:pPr>
        <w:spacing w:after="80" w:line="300" w:lineRule="auto"/>
        <w:numPr>
          <w:ilvl w:val="0"/>
          <w:numId w:val="10"/>
        </w:numPr>
      </w:pPr>
      <w:r>
        <w:rPr>
          <w:rFonts w:ascii="Calibri" w:hAnsi="Calibri"/>
          <w:b w:val="0"/>
          <w:i w:val="0"/>
          <w:color w:val="17324D"/>
          <w:sz w:val="22"/>
        </w:rPr>
        <w:t>The live option chain decides whether a chart idea is expressible.</w:t>
      </w:r>
    </w:p>
    <w:p>
      <w:pPr>
        <w:spacing w:after="80" w:line="300" w:lineRule="auto"/>
        <w:numPr>
          <w:ilvl w:val="0"/>
          <w:numId w:val="10"/>
        </w:numPr>
      </w:pPr>
      <w:r>
        <w:rPr>
          <w:rFonts w:ascii="Calibri" w:hAnsi="Calibri"/>
          <w:b w:val="0"/>
          <w:i w:val="0"/>
          <w:color w:val="17324D"/>
          <w:sz w:val="22"/>
        </w:rPr>
        <w:t>The underlying invalidation owns the thesis.</w:t>
      </w:r>
    </w:p>
    <w:p>
      <w:pPr>
        <w:spacing w:after="80" w:line="300" w:lineRule="auto"/>
        <w:numPr>
          <w:ilvl w:val="0"/>
          <w:numId w:val="10"/>
        </w:numPr>
      </w:pPr>
      <w:r>
        <w:rPr>
          <w:rFonts w:ascii="Calibri" w:hAnsi="Calibri"/>
          <w:b w:val="0"/>
          <w:i w:val="0"/>
          <w:color w:val="17324D"/>
          <w:sz w:val="22"/>
        </w:rPr>
        <w:t>More time and meaningful delta are features, not wasted premium.</w:t>
      </w:r>
    </w:p>
    <w:p>
      <w:pPr>
        <w:spacing w:after="80" w:line="300" w:lineRule="auto"/>
        <w:numPr>
          <w:ilvl w:val="0"/>
          <w:numId w:val="10"/>
        </w:numPr>
      </w:pPr>
      <w:r>
        <w:rPr>
          <w:rFonts w:ascii="Calibri" w:hAnsi="Calibri"/>
          <w:b w:val="0"/>
          <w:i w:val="0"/>
          <w:color w:val="17324D"/>
          <w:sz w:val="22"/>
        </w:rPr>
        <w:t>No score is a probability and no setup is guaranteed.</w:t>
      </w:r>
    </w:p>
    <w:p>
      <w:pPr>
        <w:spacing w:after="80" w:line="300" w:lineRule="auto"/>
        <w:numPr>
          <w:ilvl w:val="0"/>
          <w:numId w:val="10"/>
        </w:numPr>
      </w:pPr>
      <w:r>
        <w:rPr>
          <w:rFonts w:ascii="Calibri" w:hAnsi="Calibri"/>
          <w:b w:val="0"/>
          <w:i w:val="0"/>
          <w:color w:val="17324D"/>
          <w:sz w:val="22"/>
        </w:rPr>
        <w:t>Process quality is reviewed separately from trade outcome.</w:t>
      </w:r>
    </w:p>
    <w:p>
      <w:pPr>
        <w:pStyle w:val="Heading1"/>
      </w:pPr>
      <w:r>
        <w:t>2. What This System Is And Is Not</w:t>
      </w:r>
    </w:p>
    <w:p>
      <w:pPr>
        <w:pStyle w:val="Heading2"/>
      </w:pPr>
      <w:r>
        <w:t>It Is</w:t>
      </w:r>
    </w:p>
    <w:p>
      <w:pPr>
        <w:spacing w:after="80" w:line="300" w:lineRule="auto"/>
        <w:numPr>
          <w:ilvl w:val="0"/>
          <w:numId w:val="10"/>
        </w:numPr>
      </w:pPr>
      <w:r>
        <w:rPr>
          <w:rFonts w:ascii="Calibri" w:hAnsi="Calibri"/>
          <w:b w:val="0"/>
          <w:i w:val="0"/>
          <w:color w:val="17324D"/>
          <w:sz w:val="22"/>
        </w:rPr>
        <w:t>A repeatable method for reducing a large universe to a short review list.</w:t>
      </w:r>
    </w:p>
    <w:p>
      <w:pPr>
        <w:spacing w:after="80" w:line="300" w:lineRule="auto"/>
        <w:numPr>
          <w:ilvl w:val="0"/>
          <w:numId w:val="10"/>
        </w:numPr>
      </w:pPr>
      <w:r>
        <w:rPr>
          <w:rFonts w:ascii="Calibri" w:hAnsi="Calibri"/>
          <w:b w:val="0"/>
          <w:i w:val="0"/>
          <w:color w:val="17324D"/>
          <w:sz w:val="22"/>
        </w:rPr>
        <w:t>A trend-participation framework built around market regime and relative strength.</w:t>
      </w:r>
    </w:p>
    <w:p>
      <w:pPr>
        <w:spacing w:after="80" w:line="300" w:lineRule="auto"/>
        <w:numPr>
          <w:ilvl w:val="0"/>
          <w:numId w:val="10"/>
        </w:numPr>
      </w:pPr>
      <w:r>
        <w:rPr>
          <w:rFonts w:ascii="Calibri" w:hAnsi="Calibri"/>
          <w:b w:val="0"/>
          <w:i w:val="0"/>
          <w:color w:val="17324D"/>
          <w:sz w:val="22"/>
        </w:rPr>
        <w:t>A pullback-first entry process.</w:t>
      </w:r>
    </w:p>
    <w:p>
      <w:pPr>
        <w:spacing w:after="80" w:line="300" w:lineRule="auto"/>
        <w:numPr>
          <w:ilvl w:val="0"/>
          <w:numId w:val="10"/>
        </w:numPr>
      </w:pPr>
      <w:r>
        <w:rPr>
          <w:rFonts w:ascii="Calibri" w:hAnsi="Calibri"/>
          <w:b w:val="0"/>
          <w:i w:val="0"/>
          <w:color w:val="17324D"/>
          <w:sz w:val="22"/>
        </w:rPr>
        <w:t>A contract-quality checklist for liquid calls.</w:t>
      </w:r>
    </w:p>
    <w:p>
      <w:pPr>
        <w:spacing w:after="80" w:line="300" w:lineRule="auto"/>
        <w:numPr>
          <w:ilvl w:val="0"/>
          <w:numId w:val="10"/>
        </w:numPr>
      </w:pPr>
      <w:r>
        <w:rPr>
          <w:rFonts w:ascii="Calibri" w:hAnsi="Calibri"/>
          <w:b w:val="0"/>
          <w:i w:val="0"/>
          <w:color w:val="17324D"/>
          <w:sz w:val="22"/>
        </w:rPr>
        <w:t>A discipline for waiting, invalidating, and reassessing.</w:t>
      </w:r>
    </w:p>
    <w:p>
      <w:pPr>
        <w:pStyle w:val="Heading2"/>
      </w:pPr>
      <w:r>
        <w:t>It Is Not</w:t>
      </w:r>
    </w:p>
    <w:p>
      <w:pPr>
        <w:spacing w:after="80" w:line="300" w:lineRule="auto"/>
        <w:numPr>
          <w:ilvl w:val="0"/>
          <w:numId w:val="10"/>
        </w:numPr>
      </w:pPr>
      <w:r>
        <w:rPr>
          <w:rFonts w:ascii="Calibri" w:hAnsi="Calibri"/>
          <w:b w:val="0"/>
          <w:i w:val="0"/>
          <w:color w:val="17324D"/>
          <w:sz w:val="22"/>
        </w:rPr>
        <w:t>A promise that markets always rise during the next month.</w:t>
      </w:r>
    </w:p>
    <w:p>
      <w:pPr>
        <w:spacing w:after="80" w:line="300" w:lineRule="auto"/>
        <w:numPr>
          <w:ilvl w:val="0"/>
          <w:numId w:val="10"/>
        </w:numPr>
      </w:pPr>
      <w:r>
        <w:rPr>
          <w:rFonts w:ascii="Calibri" w:hAnsi="Calibri"/>
          <w:b w:val="0"/>
          <w:i w:val="0"/>
          <w:color w:val="17324D"/>
          <w:sz w:val="22"/>
        </w:rPr>
        <w:t>A prediction engine.</w:t>
      </w:r>
    </w:p>
    <w:p>
      <w:pPr>
        <w:spacing w:after="80" w:line="300" w:lineRule="auto"/>
        <w:numPr>
          <w:ilvl w:val="0"/>
          <w:numId w:val="10"/>
        </w:numPr>
      </w:pPr>
      <w:r>
        <w:rPr>
          <w:rFonts w:ascii="Calibri" w:hAnsi="Calibri"/>
          <w:b w:val="0"/>
          <w:i w:val="0"/>
          <w:color w:val="17324D"/>
          <w:sz w:val="22"/>
        </w:rPr>
        <w:t>An automated trading system.</w:t>
      </w:r>
    </w:p>
    <w:p>
      <w:pPr>
        <w:spacing w:after="80" w:line="300" w:lineRule="auto"/>
        <w:numPr>
          <w:ilvl w:val="0"/>
          <w:numId w:val="10"/>
        </w:numPr>
      </w:pPr>
      <w:r>
        <w:rPr>
          <w:rFonts w:ascii="Calibri" w:hAnsi="Calibri"/>
          <w:b w:val="0"/>
          <w:i w:val="0"/>
          <w:color w:val="17324D"/>
          <w:sz w:val="22"/>
        </w:rPr>
        <w:t>A substitute for live option-chain verification.</w:t>
      </w:r>
    </w:p>
    <w:p>
      <w:pPr>
        <w:spacing w:after="80" w:line="300" w:lineRule="auto"/>
        <w:numPr>
          <w:ilvl w:val="0"/>
          <w:numId w:val="10"/>
        </w:numPr>
      </w:pPr>
      <w:r>
        <w:rPr>
          <w:rFonts w:ascii="Calibri" w:hAnsi="Calibri"/>
          <w:b w:val="0"/>
          <w:i w:val="0"/>
          <w:color w:val="17324D"/>
          <w:sz w:val="22"/>
        </w:rPr>
        <w:t>A reason to hold through earnings or ignore a broken chart.</w:t>
      </w:r>
    </w:p>
    <w:p>
      <w:pPr>
        <w:spacing w:after="80" w:line="300" w:lineRule="auto"/>
        <w:numPr>
          <w:ilvl w:val="0"/>
          <w:numId w:val="10"/>
        </w:numPr>
      </w:pPr>
      <w:r>
        <w:rPr>
          <w:rFonts w:ascii="Calibri" w:hAnsi="Calibri"/>
          <w:b w:val="0"/>
          <w:i w:val="0"/>
          <w:color w:val="17324D"/>
          <w:sz w:val="22"/>
        </w:rPr>
        <w:t>A source of proven win rates or expected returns.</w:t>
      </w:r>
    </w:p>
    <w:p>
      <w:pPr>
        <w:pStyle w:val="Heading1"/>
      </w:pPr>
      <w:r>
        <w:t>3. The Five Layers</w:t>
      </w:r>
    </w:p>
    <w:p>
      <w:pPr>
        <w:pStyle w:val="Heading2"/>
      </w:pPr>
      <w:r>
        <w:t>Layer 1: Market</w:t>
      </w:r>
    </w:p>
    <w:p>
      <w:r>
        <w:rPr>
          <w:rFonts w:ascii="Calibri" w:hAnsi="Calibri"/>
          <w:b w:val="0"/>
          <w:i w:val="0"/>
          <w:color w:val="17324D"/>
          <w:sz w:val="22"/>
        </w:rPr>
        <w:t>SPY and QQQ establish whether bullish participation has a supportive backdrop. A hostile regime blocks Ready status. The system does not respond to a hostile market by forcing puts; it responds by protecting attention and capital.</w:t>
      </w:r>
    </w:p>
    <w:p>
      <w:pPr>
        <w:pStyle w:val="Heading2"/>
      </w:pPr>
      <w:r>
        <w:t>Layer 2: Daily Selection</w:t>
      </w:r>
    </w:p>
    <w:p>
      <w:r>
        <w:rPr>
          <w:rFonts w:ascii="Calibri" w:hAnsi="Calibri"/>
          <w:b w:val="0"/>
          <w:i w:val="0"/>
          <w:color w:val="17324D"/>
          <w:sz w:val="22"/>
        </w:rPr>
        <w:t>The stock must show a durable uptrend, constructive structure, benchmark-relative strength, and room for a sensible entry. The daily chart determines whether the idea deserves attention.</w:t>
      </w:r>
    </w:p>
    <w:p>
      <w:pPr>
        <w:pStyle w:val="Heading2"/>
      </w:pPr>
      <w:r>
        <w:t>Layer 3: Four-Hour Timing</w:t>
      </w:r>
    </w:p>
    <w:p>
      <w:r>
        <w:rPr>
          <w:rFonts w:ascii="Calibri" w:hAnsi="Calibri"/>
          <w:b w:val="0"/>
          <w:i w:val="0"/>
          <w:color w:val="17324D"/>
          <w:sz w:val="22"/>
        </w:rPr>
        <w:t>The four-hour chart determines whether the move is beginning now. It cannot overrule the daily chart. Only completed candles count.</w:t>
      </w:r>
    </w:p>
    <w:p>
      <w:pPr>
        <w:pStyle w:val="Heading2"/>
      </w:pPr>
      <w:r>
        <w:t>Layer 4: Contract</w:t>
      </w:r>
    </w:p>
    <w:p>
      <w:r>
        <w:rPr>
          <w:rFonts w:ascii="Calibri" w:hAnsi="Calibri"/>
          <w:b w:val="0"/>
          <w:i w:val="0"/>
          <w:color w:val="17324D"/>
          <w:sz w:val="22"/>
        </w:rPr>
        <w:t>The contract must provide enough time, directional exposure, and liquidity. The research strike is a starting point; the broker's live chain is authoritative.</w:t>
      </w:r>
    </w:p>
    <w:p>
      <w:pPr>
        <w:pStyle w:val="Heading2"/>
      </w:pPr>
      <w:r>
        <w:t>Layer 5: Management</w:t>
      </w:r>
    </w:p>
    <w:p>
      <w:r>
        <w:rPr>
          <w:rFonts w:ascii="Calibri" w:hAnsi="Calibri"/>
          <w:b w:val="0"/>
          <w:i w:val="0"/>
          <w:color w:val="17324D"/>
          <w:sz w:val="22"/>
        </w:rPr>
        <w:t>Management follows the underlying thesis, elapsed time, event calendar, and remaining DTE. The position is never allowed to become a hope-based hold.</w:t>
      </w:r>
    </w:p>
    <w:p>
      <w:pPr>
        <w:pStyle w:val="Heading1"/>
      </w:pPr>
      <w:r>
        <w:t>4. Setup States</w:t>
      </w:r>
    </w:p>
    <w:p>
      <w:pPr>
        <w:pStyle w:val="Heading2"/>
      </w:pPr>
      <w:r>
        <w:t>Ready</w:t>
      </w:r>
    </w:p>
    <w:p>
      <w:r>
        <w:rPr>
          <w:rFonts w:ascii="Calibri" w:hAnsi="Calibri"/>
          <w:b w:val="0"/>
          <w:i w:val="0"/>
          <w:color w:val="17324D"/>
          <w:sz w:val="22"/>
        </w:rPr>
        <w:t>The trend, current trigger, market regime, event-risk check, and live-quality option data all pass. Ready means ready for manual review, not automatic entry.</w:t>
      </w:r>
    </w:p>
    <w:p>
      <w:pPr>
        <w:pStyle w:val="Heading2"/>
      </w:pPr>
      <w:r>
        <w:t>Ready - Verify</w:t>
      </w:r>
    </w:p>
    <w:p>
      <w:r>
        <w:rPr>
          <w:rFonts w:ascii="Calibri" w:hAnsi="Calibri"/>
          <w:b w:val="0"/>
          <w:i w:val="0"/>
          <w:color w:val="17324D"/>
          <w:sz w:val="22"/>
        </w:rPr>
        <w:t>The setup is close to Ready but one minor confirmation still needs review. Identify the missing item before doing anything.</w:t>
      </w:r>
    </w:p>
    <w:p>
      <w:pPr>
        <w:pStyle w:val="Heading2"/>
      </w:pPr>
      <w:r>
        <w:t>Developing</w:t>
      </w:r>
    </w:p>
    <w:p>
      <w:r>
        <w:rPr>
          <w:rFonts w:ascii="Calibri" w:hAnsi="Calibri"/>
          <w:b w:val="0"/>
          <w:i w:val="0"/>
          <w:color w:val="17324D"/>
          <w:sz w:val="22"/>
        </w:rPr>
        <w:t>The trend is constructive, but the entry is not current or confirmation is incomplete. Set an alert and wait.</w:t>
      </w:r>
    </w:p>
    <w:p>
      <w:pPr>
        <w:pStyle w:val="Heading2"/>
      </w:pPr>
      <w:r>
        <w:t>Verify Contract</w:t>
      </w:r>
    </w:p>
    <w:p>
      <w:r>
        <w:rPr>
          <w:rFonts w:ascii="Calibri" w:hAnsi="Calibri"/>
          <w:b w:val="0"/>
          <w:i w:val="0"/>
          <w:color w:val="17324D"/>
          <w:sz w:val="22"/>
        </w:rPr>
        <w:t>The chart passes, but the option feed is missing or indicative. Open the live broker chain and verify every contract gate. Until then, it is not Ready.</w:t>
      </w:r>
    </w:p>
    <w:p>
      <w:pPr>
        <w:pStyle w:val="Heading2"/>
      </w:pPr>
      <w:r>
        <w:t>Rejected</w:t>
      </w:r>
    </w:p>
    <w:p>
      <w:r>
        <w:rPr>
          <w:rFonts w:ascii="Calibri" w:hAnsi="Calibri"/>
          <w:b w:val="0"/>
          <w:i w:val="0"/>
          <w:color w:val="17324D"/>
          <w:sz w:val="22"/>
        </w:rPr>
        <w:t>A hard gate failed. Read the reason code; do not reinterpret Rejected as "almost ready."</w:t>
      </w:r>
    </w:p>
    <w:p>
      <w:pPr>
        <w:pStyle w:val="Heading1"/>
      </w:pPr>
      <w:r>
        <w:t>5. Market And Trend Qualification</w:t>
      </w:r>
    </w:p>
    <w:p>
      <w:r>
        <w:rPr>
          <w:rFonts w:ascii="Calibri" w:hAnsi="Calibri"/>
          <w:b w:val="0"/>
          <w:i w:val="0"/>
          <w:color w:val="17324D"/>
          <w:sz w:val="22"/>
        </w:rPr>
        <w:t>The strongest bullish ideas usually combine several independent observations:</w:t>
      </w:r>
    </w:p>
    <w:p>
      <w:pPr>
        <w:spacing w:after="80" w:line="300" w:lineRule="auto"/>
        <w:numPr>
          <w:ilvl w:val="0"/>
          <w:numId w:val="10"/>
        </w:numPr>
      </w:pPr>
      <w:r>
        <w:rPr>
          <w:rFonts w:ascii="Calibri" w:hAnsi="Calibri"/>
          <w:b w:val="0"/>
          <w:i w:val="0"/>
          <w:color w:val="17324D"/>
          <w:sz w:val="22"/>
        </w:rPr>
        <w:t>Price is above the 200-day moving average.</w:t>
      </w:r>
    </w:p>
    <w:p>
      <w:pPr>
        <w:spacing w:after="80" w:line="300" w:lineRule="auto"/>
        <w:numPr>
          <w:ilvl w:val="0"/>
          <w:numId w:val="10"/>
        </w:numPr>
      </w:pPr>
      <w:r>
        <w:rPr>
          <w:rFonts w:ascii="Calibri" w:hAnsi="Calibri"/>
          <w:b w:val="0"/>
          <w:i w:val="0"/>
          <w:color w:val="17324D"/>
          <w:sz w:val="22"/>
        </w:rPr>
        <w:t>The 50-day moving average is above the 200-day average.</w:t>
      </w:r>
    </w:p>
    <w:p>
      <w:pPr>
        <w:spacing w:after="80" w:line="300" w:lineRule="auto"/>
        <w:numPr>
          <w:ilvl w:val="0"/>
          <w:numId w:val="10"/>
        </w:numPr>
      </w:pPr>
      <w:r>
        <w:rPr>
          <w:rFonts w:ascii="Calibri" w:hAnsi="Calibri"/>
          <w:b w:val="0"/>
          <w:i w:val="0"/>
          <w:color w:val="17324D"/>
          <w:sz w:val="22"/>
        </w:rPr>
        <w:t>The 200-day average is rising.</w:t>
      </w:r>
    </w:p>
    <w:p>
      <w:pPr>
        <w:spacing w:after="80" w:line="300" w:lineRule="auto"/>
        <w:numPr>
          <w:ilvl w:val="0"/>
          <w:numId w:val="10"/>
        </w:numPr>
      </w:pPr>
      <w:r>
        <w:rPr>
          <w:rFonts w:ascii="Calibri" w:hAnsi="Calibri"/>
          <w:b w:val="0"/>
          <w:i w:val="0"/>
          <w:color w:val="17324D"/>
          <w:sz w:val="22"/>
        </w:rPr>
        <w:t>Price is above or reclaiming the 21-day EMA.</w:t>
      </w:r>
    </w:p>
    <w:p>
      <w:pPr>
        <w:spacing w:after="80" w:line="300" w:lineRule="auto"/>
        <w:numPr>
          <w:ilvl w:val="0"/>
          <w:numId w:val="10"/>
        </w:numPr>
      </w:pPr>
      <w:r>
        <w:rPr>
          <w:rFonts w:ascii="Calibri" w:hAnsi="Calibri"/>
          <w:b w:val="0"/>
          <w:i w:val="0"/>
          <w:color w:val="17324D"/>
          <w:sz w:val="22"/>
        </w:rPr>
        <w:t>Weekly price is aligned above the weekly EMA 21.</w:t>
      </w:r>
    </w:p>
    <w:p>
      <w:pPr>
        <w:spacing w:after="80" w:line="300" w:lineRule="auto"/>
        <w:numPr>
          <w:ilvl w:val="0"/>
          <w:numId w:val="10"/>
        </w:numPr>
      </w:pPr>
      <w:r>
        <w:rPr>
          <w:rFonts w:ascii="Calibri" w:hAnsi="Calibri"/>
          <w:b w:val="0"/>
          <w:i w:val="0"/>
          <w:color w:val="17324D"/>
          <w:sz w:val="22"/>
        </w:rPr>
        <w:t>Relative strength versus QQQ is leading or improving.</w:t>
      </w:r>
    </w:p>
    <w:p>
      <w:pPr>
        <w:spacing w:after="80" w:line="300" w:lineRule="auto"/>
        <w:numPr>
          <w:ilvl w:val="0"/>
          <w:numId w:val="10"/>
        </w:numPr>
      </w:pPr>
      <w:r>
        <w:rPr>
          <w:rFonts w:ascii="Calibri" w:hAnsi="Calibri"/>
          <w:b w:val="0"/>
          <w:i w:val="0"/>
          <w:color w:val="17324D"/>
          <w:sz w:val="22"/>
        </w:rPr>
        <w:t>Price is above the monthly anchored VWAP.</w:t>
      </w:r>
    </w:p>
    <w:p>
      <w:pPr>
        <w:spacing w:after="80" w:line="300" w:lineRule="auto"/>
        <w:numPr>
          <w:ilvl w:val="0"/>
          <w:numId w:val="10"/>
        </w:numPr>
      </w:pPr>
      <w:r>
        <w:rPr>
          <w:rFonts w:ascii="Calibri" w:hAnsi="Calibri"/>
          <w:b w:val="0"/>
          <w:i w:val="0"/>
          <w:color w:val="17324D"/>
          <w:sz w:val="22"/>
        </w:rPr>
        <w:t>Structure shows higher lows, higher highs, or a clear improvement.</w:t>
      </w:r>
    </w:p>
    <w:p>
      <w:pPr>
        <w:spacing w:after="80" w:line="300" w:lineRule="auto"/>
        <w:numPr>
          <w:ilvl w:val="0"/>
          <w:numId w:val="10"/>
        </w:numPr>
      </w:pPr>
      <w:r>
        <w:rPr>
          <w:rFonts w:ascii="Calibri" w:hAnsi="Calibri"/>
          <w:b w:val="0"/>
          <w:i w:val="0"/>
          <w:color w:val="17324D"/>
          <w:sz w:val="22"/>
        </w:rPr>
        <w:t>Price is not extended beyond a reasonable entry zone.</w:t>
      </w:r>
    </w:p>
    <w:p>
      <w:r>
        <w:rPr>
          <w:rFonts w:ascii="Calibri" w:hAnsi="Calibri"/>
          <w:b w:val="0"/>
          <w:i w:val="0"/>
          <w:color w:val="17324D"/>
          <w:sz w:val="22"/>
        </w:rPr>
        <w:t>These conditions describe an environment; they do not need to be counted as separate proofs of certainty. Many trend indicators are correlated. The score ranks candidates, while the chart review asks whether the evidence tells one coherent story.</w:t>
      </w:r>
    </w:p>
    <w:p>
      <w:pPr>
        <w:pStyle w:val="Heading1"/>
      </w:pPr>
      <w:r>
        <w:t>6. Primary Playbook: Controlled Pullback</w:t>
      </w:r>
    </w:p>
    <w:p>
      <w:r>
        <w:rPr>
          <w:rFonts w:ascii="Calibri" w:hAnsi="Calibri"/>
          <w:b w:val="0"/>
          <w:i w:val="0"/>
          <w:color w:val="17324D"/>
          <w:sz w:val="22"/>
        </w:rPr>
        <w:t>The preferred setup is a strong stock returning toward support without destroying its larger trend.</w:t>
      </w:r>
    </w:p>
    <w:p>
      <w:pPr>
        <w:pStyle w:val="Heading2"/>
      </w:pPr>
      <w:r>
        <w:t>Qualification</w:t>
      </w:r>
    </w:p>
    <w:p>
      <w:pPr>
        <w:spacing w:after="80" w:line="300" w:lineRule="auto"/>
        <w:numPr>
          <w:ilvl w:val="0"/>
          <w:numId w:val="10"/>
        </w:numPr>
      </w:pPr>
      <w:r>
        <w:rPr>
          <w:rFonts w:ascii="Calibri" w:hAnsi="Calibri"/>
          <w:b w:val="0"/>
          <w:i w:val="0"/>
          <w:color w:val="17324D"/>
          <w:sz w:val="22"/>
        </w:rPr>
        <w:t>Daily uptrend remains intact.</w:t>
      </w:r>
    </w:p>
    <w:p>
      <w:pPr>
        <w:spacing w:after="80" w:line="300" w:lineRule="auto"/>
        <w:numPr>
          <w:ilvl w:val="0"/>
          <w:numId w:val="10"/>
        </w:numPr>
      </w:pPr>
      <w:r>
        <w:rPr>
          <w:rFonts w:ascii="Calibri" w:hAnsi="Calibri"/>
          <w:b w:val="0"/>
          <w:i w:val="0"/>
          <w:color w:val="17324D"/>
          <w:sz w:val="22"/>
        </w:rPr>
        <w:t>Relative strength remains constructive.</w:t>
      </w:r>
    </w:p>
    <w:p>
      <w:pPr>
        <w:spacing w:after="80" w:line="300" w:lineRule="auto"/>
        <w:numPr>
          <w:ilvl w:val="0"/>
          <w:numId w:val="10"/>
        </w:numPr>
      </w:pPr>
      <w:r>
        <w:rPr>
          <w:rFonts w:ascii="Calibri" w:hAnsi="Calibri"/>
          <w:b w:val="0"/>
          <w:i w:val="0"/>
          <w:color w:val="17324D"/>
          <w:sz w:val="22"/>
        </w:rPr>
        <w:t>Price approaches the EMA 21, SMA 50, anchored VWAP, or confirmed pivot support.</w:t>
      </w:r>
    </w:p>
    <w:p>
      <w:pPr>
        <w:spacing w:after="80" w:line="300" w:lineRule="auto"/>
        <w:numPr>
          <w:ilvl w:val="0"/>
          <w:numId w:val="10"/>
        </w:numPr>
      </w:pPr>
      <w:r>
        <w:rPr>
          <w:rFonts w:ascii="Calibri" w:hAnsi="Calibri"/>
          <w:b w:val="0"/>
          <w:i w:val="0"/>
          <w:color w:val="17324D"/>
          <w:sz w:val="22"/>
        </w:rPr>
        <w:t>Selling pressure contracts or stabilizes near support.</w:t>
      </w:r>
    </w:p>
    <w:p>
      <w:pPr>
        <w:spacing w:after="80" w:line="300" w:lineRule="auto"/>
        <w:numPr>
          <w:ilvl w:val="0"/>
          <w:numId w:val="10"/>
        </w:numPr>
      </w:pPr>
      <w:r>
        <w:rPr>
          <w:rFonts w:ascii="Calibri" w:hAnsi="Calibri"/>
          <w:b w:val="0"/>
          <w:i w:val="0"/>
          <w:color w:val="17324D"/>
          <w:sz w:val="22"/>
        </w:rPr>
        <w:t>The stock is not facing earnings inside the intended option window.</w:t>
      </w:r>
    </w:p>
    <w:p>
      <w:pPr>
        <w:spacing w:after="80" w:line="300" w:lineRule="auto"/>
        <w:numPr>
          <w:ilvl w:val="0"/>
          <w:numId w:val="10"/>
        </w:numPr>
      </w:pPr>
      <w:r>
        <w:rPr>
          <w:rFonts w:ascii="Calibri" w:hAnsi="Calibri"/>
          <w:b w:val="0"/>
          <w:i w:val="0"/>
          <w:color w:val="17324D"/>
          <w:sz w:val="22"/>
        </w:rPr>
        <w:t>The market regime is not hostile.</w:t>
      </w:r>
    </w:p>
    <w:p>
      <w:pPr>
        <w:pStyle w:val="Heading2"/>
      </w:pPr>
      <w:r>
        <w:t>Trigger</w:t>
      </w:r>
    </w:p>
    <w:p>
      <w:r>
        <w:rPr>
          <w:rFonts w:ascii="Calibri" w:hAnsi="Calibri"/>
          <w:b w:val="0"/>
          <w:i w:val="0"/>
          <w:color w:val="17324D"/>
          <w:sz w:val="22"/>
        </w:rPr>
        <w:t>Wait for a completed four-hour candle showing that buyers have regained control. Useful evidence includes a higher low, support reclaim, strong close, improving momentum, and volume returning with price.</w:t>
      </w:r>
    </w:p>
    <w:p>
      <w:pPr>
        <w:pStyle w:val="Heading2"/>
      </w:pPr>
      <w:r>
        <w:t>Invalidation</w:t>
      </w:r>
    </w:p>
    <w:p>
      <w:r>
        <w:rPr>
          <w:rFonts w:ascii="Calibri" w:hAnsi="Calibri"/>
          <w:b w:val="0"/>
          <w:i w:val="0"/>
          <w:color w:val="17324D"/>
          <w:sz w:val="22"/>
        </w:rPr>
        <w:t>The invalidation belongs below the support structure that made the setup attractive. If that structure fails on the chosen confirmation basis, the original thesis no longer exists.</w:t>
      </w:r>
    </w:p>
    <w:p>
      <w:pPr>
        <w:pStyle w:val="Heading2"/>
      </w:pPr>
      <w:r>
        <w:t>Why Pullbacks Come First</w:t>
      </w:r>
    </w:p>
    <w:p>
      <w:r>
        <w:rPr>
          <w:rFonts w:ascii="Calibri" w:hAnsi="Calibri"/>
          <w:b w:val="0"/>
          <w:i w:val="0"/>
          <w:color w:val="17324D"/>
          <w:sz w:val="22"/>
        </w:rPr>
        <w:t>Pullbacks normally provide a clearer invalidation and a less extended stock price. Option volatility may also be calmer than it is immediately after a dramatic breakout. That does not make every pullback inexpensive; the live chain still decides.</w:t>
      </w:r>
    </w:p>
    <w:p>
      <w:pPr>
        <w:pStyle w:val="Heading1"/>
      </w:pPr>
      <w:r>
        <w:t>7. Secondary Playbook: Confirmed Breakout</w:t>
      </w:r>
    </w:p>
    <w:p>
      <w:r>
        <w:rPr>
          <w:rFonts w:ascii="Calibri" w:hAnsi="Calibri"/>
          <w:b w:val="0"/>
          <w:i w:val="0"/>
          <w:color w:val="17324D"/>
          <w:sz w:val="22"/>
        </w:rPr>
        <w:t>A breakout is acceptable when price closes through established resistance with credible participation and has not already traveled too far.</w:t>
      </w:r>
    </w:p>
    <w:p>
      <w:pPr>
        <w:pStyle w:val="Heading2"/>
      </w:pPr>
      <w:r>
        <w:t>Qualification</w:t>
      </w:r>
    </w:p>
    <w:p>
      <w:pPr>
        <w:spacing w:after="80" w:line="300" w:lineRule="auto"/>
        <w:numPr>
          <w:ilvl w:val="0"/>
          <w:numId w:val="10"/>
        </w:numPr>
      </w:pPr>
      <w:r>
        <w:rPr>
          <w:rFonts w:ascii="Calibri" w:hAnsi="Calibri"/>
          <w:b w:val="0"/>
          <w:i w:val="0"/>
          <w:color w:val="17324D"/>
          <w:sz w:val="22"/>
        </w:rPr>
        <w:t>Daily trend and relative strength are already healthy.</w:t>
      </w:r>
    </w:p>
    <w:p>
      <w:pPr>
        <w:spacing w:after="80" w:line="300" w:lineRule="auto"/>
        <w:numPr>
          <w:ilvl w:val="0"/>
          <w:numId w:val="10"/>
        </w:numPr>
      </w:pPr>
      <w:r>
        <w:rPr>
          <w:rFonts w:ascii="Calibri" w:hAnsi="Calibri"/>
          <w:b w:val="0"/>
          <w:i w:val="0"/>
          <w:color w:val="17324D"/>
          <w:sz w:val="22"/>
        </w:rPr>
        <w:t>The breakout level existed before the current candle.</w:t>
      </w:r>
    </w:p>
    <w:p>
      <w:pPr>
        <w:spacing w:after="80" w:line="300" w:lineRule="auto"/>
        <w:numPr>
          <w:ilvl w:val="0"/>
          <w:numId w:val="10"/>
        </w:numPr>
      </w:pPr>
      <w:r>
        <w:rPr>
          <w:rFonts w:ascii="Calibri" w:hAnsi="Calibri"/>
          <w:b w:val="0"/>
          <w:i w:val="0"/>
          <w:color w:val="17324D"/>
          <w:sz w:val="22"/>
        </w:rPr>
        <w:t>A completed candle closes through it.</w:t>
      </w:r>
    </w:p>
    <w:p>
      <w:pPr>
        <w:spacing w:after="80" w:line="300" w:lineRule="auto"/>
        <w:numPr>
          <w:ilvl w:val="0"/>
          <w:numId w:val="10"/>
        </w:numPr>
      </w:pPr>
      <w:r>
        <w:rPr>
          <w:rFonts w:ascii="Calibri" w:hAnsi="Calibri"/>
          <w:b w:val="0"/>
          <w:i w:val="0"/>
          <w:color w:val="17324D"/>
          <w:sz w:val="22"/>
        </w:rPr>
        <w:t>Volume and momentum support the move.</w:t>
      </w:r>
    </w:p>
    <w:p>
      <w:pPr>
        <w:spacing w:after="80" w:line="300" w:lineRule="auto"/>
        <w:numPr>
          <w:ilvl w:val="0"/>
          <w:numId w:val="10"/>
        </w:numPr>
      </w:pPr>
      <w:r>
        <w:rPr>
          <w:rFonts w:ascii="Calibri" w:hAnsi="Calibri"/>
          <w:b w:val="0"/>
          <w:i w:val="0"/>
          <w:color w:val="17324D"/>
          <w:sz w:val="22"/>
        </w:rPr>
        <w:t>Price is not extended from the EMA 21 or four-hour structure.</w:t>
      </w:r>
    </w:p>
    <w:p>
      <w:pPr>
        <w:spacing w:after="80" w:line="300" w:lineRule="auto"/>
        <w:numPr>
          <w:ilvl w:val="0"/>
          <w:numId w:val="10"/>
        </w:numPr>
      </w:pPr>
      <w:r>
        <w:rPr>
          <w:rFonts w:ascii="Calibri" w:hAnsi="Calibri"/>
          <w:b w:val="0"/>
          <w:i w:val="0"/>
          <w:color w:val="17324D"/>
          <w:sz w:val="22"/>
        </w:rPr>
        <w:t>The contract is not prohibitively expensive after volatility expands.</w:t>
      </w:r>
    </w:p>
    <w:p>
      <w:pPr>
        <w:pStyle w:val="Heading2"/>
      </w:pPr>
      <w:r>
        <w:t>Invalidation</w:t>
      </w:r>
    </w:p>
    <w:p>
      <w:r>
        <w:rPr>
          <w:rFonts w:ascii="Calibri" w:hAnsi="Calibri"/>
          <w:b w:val="0"/>
          <w:i w:val="0"/>
          <w:color w:val="17324D"/>
          <w:sz w:val="22"/>
        </w:rPr>
        <w:t>A decisive failure back below the breakout area invalidates the entry thesis. A breakout that happened several candles ago is not a current trigger; it is a move that was missed.</w:t>
      </w:r>
    </w:p>
    <w:p>
      <w:pPr>
        <w:pStyle w:val="Heading2"/>
      </w:pPr>
      <w:r>
        <w:t>Pullback Versus Breakout</w:t>
      </w:r>
    </w:p>
    <w:p>
      <w:r>
        <w:rPr>
          <w:rFonts w:ascii="Calibri" w:hAnsi="Calibri"/>
          <w:b w:val="0"/>
          <w:i w:val="0"/>
          <w:color w:val="17324D"/>
          <w:sz w:val="22"/>
        </w:rPr>
        <w:t>When both are available, prefer the pullback unless the breakout contract remains liquid, reasonably priced, and close to the trigger. The goal is participation, not urgency.</w:t>
      </w:r>
    </w:p>
    <w:p>
      <w:pPr>
        <w:pStyle w:val="Heading1"/>
      </w:pPr>
      <w:r>
        <w:t>8. Contract Selection</w:t>
      </w:r>
    </w:p>
    <w:p>
      <w:pPr>
        <w:pStyle w:val="Heading2"/>
      </w:pPr>
      <w:r>
        <w:t>Expiration</w:t>
      </w:r>
    </w:p>
    <w:p>
      <w:r>
        <w:rPr>
          <w:rFonts w:ascii="Calibri" w:hAnsi="Calibri"/>
          <w:b w:val="0"/>
          <w:i w:val="0"/>
          <w:color w:val="17324D"/>
          <w:sz w:val="22"/>
        </w:rPr>
        <w:t xml:space="preserve">Preferred: </w:t>
      </w:r>
      <w:r>
        <w:rPr>
          <w:rFonts w:ascii="Calibri" w:hAnsi="Calibri"/>
          <w:b/>
          <w:i w:val="0"/>
          <w:color w:val="17324D"/>
          <w:sz w:val="22"/>
        </w:rPr>
        <w:t>30-60 DTE</w:t>
      </w:r>
    </w:p>
    <w:p>
      <w:r>
        <w:rPr>
          <w:rFonts w:ascii="Calibri" w:hAnsi="Calibri"/>
          <w:b w:val="0"/>
          <w:i w:val="0"/>
          <w:color w:val="17324D"/>
          <w:sz w:val="22"/>
        </w:rPr>
        <w:t xml:space="preserve">Hard research bounds: </w:t>
      </w:r>
      <w:r>
        <w:rPr>
          <w:rFonts w:ascii="Calibri" w:hAnsi="Calibri"/>
          <w:b/>
          <w:i w:val="0"/>
          <w:color w:val="17324D"/>
          <w:sz w:val="22"/>
        </w:rPr>
        <w:t>21-75 DTE</w:t>
      </w:r>
    </w:p>
    <w:p>
      <w:r>
        <w:rPr>
          <w:rFonts w:ascii="Calibri" w:hAnsi="Calibri"/>
          <w:b w:val="0"/>
          <w:i w:val="0"/>
          <w:color w:val="17324D"/>
          <w:sz w:val="22"/>
        </w:rPr>
        <w:t xml:space="preserve">Planning window: </w:t>
      </w:r>
      <w:r>
        <w:rPr>
          <w:rFonts w:ascii="Calibri" w:hAnsi="Calibri"/>
          <w:b/>
          <w:i w:val="0"/>
          <w:color w:val="17324D"/>
          <w:sz w:val="22"/>
        </w:rPr>
        <w:t>5-15 trading days</w:t>
      </w:r>
    </w:p>
    <w:p>
      <w:r>
        <w:rPr>
          <w:rFonts w:ascii="Calibri" w:hAnsi="Calibri"/>
          <w:b w:val="0"/>
          <w:i w:val="0"/>
          <w:color w:val="17324D"/>
          <w:sz w:val="22"/>
        </w:rPr>
        <w:t xml:space="preserve">Exit or fully re-qualify by: </w:t>
      </w:r>
      <w:r>
        <w:rPr>
          <w:rFonts w:ascii="Calibri" w:hAnsi="Calibri"/>
          <w:b/>
          <w:i w:val="0"/>
          <w:color w:val="17324D"/>
          <w:sz w:val="22"/>
        </w:rPr>
        <w:t>21 DTE</w:t>
      </w:r>
    </w:p>
    <w:p>
      <w:r>
        <w:rPr>
          <w:rFonts w:ascii="Calibri" w:hAnsi="Calibri"/>
          <w:b w:val="0"/>
          <w:i w:val="0"/>
          <w:color w:val="17324D"/>
          <w:sz w:val="22"/>
        </w:rPr>
        <w:t>More time reduces the requirement that the stock move immediately. It does not remove theta, volatility risk, or the possibility of full premium loss.</w:t>
      </w:r>
    </w:p>
    <w:p>
      <w:pPr>
        <w:pStyle w:val="Heading2"/>
      </w:pPr>
      <w:r>
        <w:t>Delta</w:t>
      </w:r>
    </w:p>
    <w:p>
      <w:r>
        <w:rPr>
          <w:rFonts w:ascii="Calibri" w:hAnsi="Calibri"/>
          <w:b w:val="0"/>
          <w:i w:val="0"/>
          <w:color w:val="17324D"/>
          <w:sz w:val="22"/>
        </w:rPr>
        <w:t xml:space="preserve">Preferred call delta: </w:t>
      </w:r>
      <w:r>
        <w:rPr>
          <w:rFonts w:ascii="Calibri" w:hAnsi="Calibri"/>
          <w:b/>
          <w:i w:val="0"/>
          <w:color w:val="17324D"/>
          <w:sz w:val="22"/>
        </w:rPr>
        <w:t>0.45-0.65</w:t>
      </w:r>
    </w:p>
    <w:p>
      <w:r>
        <w:rPr>
          <w:rFonts w:ascii="Calibri" w:hAnsi="Calibri"/>
          <w:b w:val="0"/>
          <w:i w:val="0"/>
          <w:color w:val="17324D"/>
          <w:sz w:val="22"/>
        </w:rPr>
        <w:t xml:space="preserve">Hard floor: </w:t>
      </w:r>
      <w:r>
        <w:rPr>
          <w:rFonts w:ascii="Calibri" w:hAnsi="Calibri"/>
          <w:b/>
          <w:i w:val="0"/>
          <w:color w:val="17324D"/>
          <w:sz w:val="22"/>
        </w:rPr>
        <w:t>0.35</w:t>
      </w:r>
    </w:p>
    <w:p>
      <w:r>
        <w:rPr>
          <w:rFonts w:ascii="Calibri" w:hAnsi="Calibri"/>
          <w:b w:val="0"/>
          <w:i w:val="0"/>
          <w:color w:val="17324D"/>
          <w:sz w:val="22"/>
        </w:rPr>
        <w:t>This range keeps the contract meaningfully connected to the stock. Delta is a sensitivity, not a guaranteed probability of profit. It changes as price, time, and volatility change.</w:t>
      </w:r>
    </w:p>
    <w:p>
      <w:pPr>
        <w:pStyle w:val="Heading2"/>
      </w:pPr>
      <w:r>
        <w:t>Research Strike</w:t>
      </w:r>
    </w:p>
    <w:p>
      <w:r>
        <w:rPr>
          <w:rFonts w:ascii="Calibri" w:hAnsi="Calibri"/>
          <w:b w:val="0"/>
          <w:i w:val="0"/>
          <w:color w:val="17324D"/>
          <w:sz w:val="22"/>
        </w:rPr>
        <w:t>The screener rounds to a near-the-money research strike. Open the live chain near that strike and choose based on delta and liquidity. Do not force the formula's strike when the live chain points elsewhere.</w:t>
      </w:r>
    </w:p>
    <w:p>
      <w:pPr>
        <w:pStyle w:val="Heading2"/>
      </w:pPr>
      <w:r>
        <w:t>Liquidity Gates</w:t>
      </w:r>
    </w:p>
    <w:p>
      <w:pPr>
        <w:spacing w:after="80" w:line="300" w:lineRule="auto"/>
        <w:numPr>
          <w:ilvl w:val="0"/>
          <w:numId w:val="10"/>
        </w:numPr>
      </w:pPr>
      <w:r>
        <w:rPr>
          <w:rFonts w:ascii="Calibri" w:hAnsi="Calibri"/>
          <w:b w:val="0"/>
          <w:i w:val="0"/>
          <w:color w:val="17324D"/>
          <w:sz w:val="22"/>
        </w:rPr>
        <w:t>Spread no wider than 8% of mid for Ready status.</w:t>
      </w:r>
    </w:p>
    <w:p>
      <w:pPr>
        <w:spacing w:after="80" w:line="300" w:lineRule="auto"/>
        <w:numPr>
          <w:ilvl w:val="0"/>
          <w:numId w:val="10"/>
        </w:numPr>
      </w:pPr>
      <w:r>
        <w:rPr>
          <w:rFonts w:ascii="Calibri" w:hAnsi="Calibri"/>
          <w:b w:val="0"/>
          <w:i w:val="0"/>
          <w:color w:val="17324D"/>
          <w:sz w:val="22"/>
        </w:rPr>
        <w:t>Open interest of at least 500.</w:t>
      </w:r>
    </w:p>
    <w:p>
      <w:pPr>
        <w:spacing w:after="80" w:line="300" w:lineRule="auto"/>
        <w:numPr>
          <w:ilvl w:val="0"/>
          <w:numId w:val="10"/>
        </w:numPr>
      </w:pPr>
      <w:r>
        <w:rPr>
          <w:rFonts w:ascii="Calibri" w:hAnsi="Calibri"/>
          <w:b w:val="0"/>
          <w:i w:val="0"/>
          <w:color w:val="17324D"/>
          <w:sz w:val="22"/>
        </w:rPr>
        <w:t>Daily contract volume of at least 100.</w:t>
      </w:r>
    </w:p>
    <w:p>
      <w:pPr>
        <w:spacing w:after="80" w:line="300" w:lineRule="auto"/>
        <w:numPr>
          <w:ilvl w:val="0"/>
          <w:numId w:val="10"/>
        </w:numPr>
      </w:pPr>
      <w:r>
        <w:rPr>
          <w:rFonts w:ascii="Calibri" w:hAnsi="Calibri"/>
          <w:b w:val="0"/>
          <w:i w:val="0"/>
          <w:color w:val="17324D"/>
          <w:sz w:val="22"/>
        </w:rPr>
        <w:t>Current quotes from the broker.</w:t>
      </w:r>
    </w:p>
    <w:p>
      <w:pPr>
        <w:spacing w:after="80" w:line="300" w:lineRule="auto"/>
        <w:numPr>
          <w:ilvl w:val="0"/>
          <w:numId w:val="10"/>
        </w:numPr>
      </w:pPr>
      <w:r>
        <w:rPr>
          <w:rFonts w:ascii="Calibri" w:hAnsi="Calibri"/>
          <w:b w:val="0"/>
          <w:i w:val="0"/>
          <w:color w:val="17324D"/>
          <w:sz w:val="22"/>
        </w:rPr>
        <w:t>Limit orders; no automatic market-order assumption.</w:t>
      </w:r>
    </w:p>
    <w:p>
      <w:pPr>
        <w:pStyle w:val="Heading2"/>
      </w:pPr>
      <w:r>
        <w:t>Implied Volatility</w:t>
      </w:r>
    </w:p>
    <w:p>
      <w:r>
        <w:rPr>
          <w:rFonts w:ascii="Calibri" w:hAnsi="Calibri"/>
          <w:b w:val="0"/>
          <w:i w:val="0"/>
          <w:color w:val="17324D"/>
          <w:sz w:val="22"/>
        </w:rPr>
        <w:t>IV Rank is context, not a standalone permission slip. Compare the contract's volatility with its own history, recent movement, known events, and nearby strikes and expirations. The question is whether the move required by the thesis is already heavily priced.</w:t>
      </w:r>
    </w:p>
    <w:p>
      <w:pPr>
        <w:pStyle w:val="Heading1"/>
      </w:pPr>
      <w:r>
        <w:t>9. Reading The Greeks</w:t>
      </w:r>
    </w:p>
    <w:p>
      <w:pPr>
        <w:pStyle w:val="Heading2"/>
      </w:pPr>
      <w:r>
        <w:t>Delta</w:t>
      </w:r>
    </w:p>
    <w:p>
      <w:r>
        <w:rPr>
          <w:rFonts w:ascii="Calibri" w:hAnsi="Calibri"/>
          <w:b w:val="0"/>
          <w:i w:val="0"/>
          <w:color w:val="17324D"/>
          <w:sz w:val="22"/>
        </w:rPr>
        <w:t>Estimated option-price sensitivity to a one-dollar stock move, all else equal. Delta changes continuously and should not be treated as a fixed probability.</w:t>
      </w:r>
    </w:p>
    <w:p>
      <w:pPr>
        <w:pStyle w:val="Heading2"/>
      </w:pPr>
      <w:r>
        <w:t>Gamma</w:t>
      </w:r>
    </w:p>
    <w:p>
      <w:r>
        <w:rPr>
          <w:rFonts w:ascii="Calibri" w:hAnsi="Calibri"/>
          <w:b w:val="0"/>
          <w:i w:val="0"/>
          <w:color w:val="17324D"/>
          <w:sz w:val="22"/>
        </w:rPr>
        <w:t>The rate at which delta changes. Gamma increases as expiration approaches and can make short-dated contracts change behavior rapidly.</w:t>
      </w:r>
    </w:p>
    <w:p>
      <w:pPr>
        <w:pStyle w:val="Heading2"/>
      </w:pPr>
      <w:r>
        <w:t>Theta</w:t>
      </w:r>
    </w:p>
    <w:p>
      <w:r>
        <w:rPr>
          <w:rFonts w:ascii="Calibri" w:hAnsi="Calibri"/>
          <w:b w:val="0"/>
          <w:i w:val="0"/>
          <w:color w:val="17324D"/>
          <w:sz w:val="22"/>
        </w:rPr>
        <w:t>The model-estimated effect of one day passing, all else equal. Decay is not a universal fixed schedule and depends on moneyness, volatility, and events.</w:t>
      </w:r>
    </w:p>
    <w:p>
      <w:pPr>
        <w:pStyle w:val="Heading2"/>
      </w:pPr>
      <w:r>
        <w:t>Vega</w:t>
      </w:r>
    </w:p>
    <w:p>
      <w:r>
        <w:rPr>
          <w:rFonts w:ascii="Calibri" w:hAnsi="Calibri"/>
          <w:b w:val="0"/>
          <w:i w:val="0"/>
          <w:color w:val="17324D"/>
          <w:sz w:val="22"/>
        </w:rPr>
        <w:t>Sensitivity to implied volatility. A correct directional thesis can still produce a weak option result if implied volatility falls sharply.</w:t>
      </w:r>
    </w:p>
    <w:p>
      <w:pPr>
        <w:pStyle w:val="Heading2"/>
      </w:pPr>
      <w:r>
        <w:t>Practical Question</w:t>
      </w:r>
    </w:p>
    <w:p>
      <w:r>
        <w:rPr>
          <w:rFonts w:ascii="Calibri" w:hAnsi="Calibri"/>
          <w:b w:val="0"/>
          <w:i w:val="0"/>
          <w:color w:val="17324D"/>
          <w:sz w:val="22"/>
        </w:rPr>
        <w:t>Before entry, estimate what happens to the contract if the stock rises, stays flat, or falls modestly over five trading days. If the answer is unknown, use an options calculator and keep training before increasing size.</w:t>
      </w:r>
    </w:p>
    <w:p>
      <w:pPr>
        <w:pStyle w:val="Heading1"/>
      </w:pPr>
      <w:r>
        <w:t>10. Entry Planning</w:t>
      </w:r>
    </w:p>
    <w:p>
      <w:pPr>
        <w:spacing w:after="120" w:line="300" w:lineRule="auto"/>
      </w:pPr>
      <w:r>
        <w:rPr>
          <w:rFonts w:ascii="Calibri" w:hAnsi="Calibri"/>
          <w:color w:val="17324D"/>
          <w:sz w:val="22"/>
        </w:rPr>
        <w:t>The report always shows the nearest confirmed daily pivot resistance. When that pivot offers enough room, it becomes the target. When it is too close, the target is labeled as a 2R planning objective, and the path through nearby resistance must be reviewed. A synthetic objective is never described as market resistance.</w:t>
      </w:r>
    </w:p>
    <w:p>
      <w:r>
        <w:rPr>
          <w:rFonts w:ascii="Calibri" w:hAnsi="Calibri"/>
          <w:b w:val="0"/>
          <w:i w:val="0"/>
          <w:color w:val="17324D"/>
          <w:sz w:val="22"/>
        </w:rPr>
        <w:t>Before entry, write one sentence containing:</w:t>
      </w:r>
    </w:p>
    <w:p>
      <w:pPr>
        <w:spacing w:after="80" w:line="300" w:lineRule="auto"/>
        <w:numPr>
          <w:ilvl w:val="0"/>
          <w:numId w:val="10"/>
        </w:numPr>
      </w:pPr>
      <w:r>
        <w:rPr>
          <w:rFonts w:ascii="Calibri" w:hAnsi="Calibri"/>
          <w:b w:val="0"/>
          <w:i w:val="0"/>
          <w:color w:val="17324D"/>
          <w:sz w:val="22"/>
        </w:rPr>
        <w:t>ticker and market regime</w:t>
      </w:r>
    </w:p>
    <w:p>
      <w:pPr>
        <w:spacing w:after="80" w:line="300" w:lineRule="auto"/>
        <w:numPr>
          <w:ilvl w:val="0"/>
          <w:numId w:val="10"/>
        </w:numPr>
      </w:pPr>
      <w:r>
        <w:rPr>
          <w:rFonts w:ascii="Calibri" w:hAnsi="Calibri"/>
          <w:b w:val="0"/>
          <w:i w:val="0"/>
          <w:color w:val="17324D"/>
          <w:sz w:val="22"/>
        </w:rPr>
        <w:t>setup type and daily trend</w:t>
      </w:r>
    </w:p>
    <w:p>
      <w:pPr>
        <w:spacing w:after="80" w:line="300" w:lineRule="auto"/>
        <w:numPr>
          <w:ilvl w:val="0"/>
          <w:numId w:val="10"/>
        </w:numPr>
      </w:pPr>
      <w:r>
        <w:rPr>
          <w:rFonts w:ascii="Calibri" w:hAnsi="Calibri"/>
          <w:b w:val="0"/>
          <w:i w:val="0"/>
          <w:color w:val="17324D"/>
          <w:sz w:val="22"/>
        </w:rPr>
        <w:t>completed four-hour trigger</w:t>
      </w:r>
    </w:p>
    <w:p>
      <w:pPr>
        <w:spacing w:after="80" w:line="300" w:lineRule="auto"/>
        <w:numPr>
          <w:ilvl w:val="0"/>
          <w:numId w:val="10"/>
        </w:numPr>
      </w:pPr>
      <w:r>
        <w:rPr>
          <w:rFonts w:ascii="Calibri" w:hAnsi="Calibri"/>
          <w:b w:val="0"/>
          <w:i w:val="0"/>
          <w:color w:val="17324D"/>
          <w:sz w:val="22"/>
        </w:rPr>
        <w:t>support and invalidation</w:t>
      </w:r>
    </w:p>
    <w:p>
      <w:pPr>
        <w:spacing w:after="80" w:line="300" w:lineRule="auto"/>
        <w:numPr>
          <w:ilvl w:val="0"/>
          <w:numId w:val="10"/>
        </w:numPr>
      </w:pPr>
      <w:r>
        <w:rPr>
          <w:rFonts w:ascii="Calibri" w:hAnsi="Calibri"/>
          <w:b w:val="0"/>
          <w:i w:val="0"/>
          <w:color w:val="17324D"/>
          <w:sz w:val="22"/>
        </w:rPr>
        <w:t>target and whether it is pivot resistance or a 2R planning objective</w:t>
      </w:r>
    </w:p>
    <w:p>
      <w:pPr>
        <w:spacing w:after="80" w:line="300" w:lineRule="auto"/>
        <w:numPr>
          <w:ilvl w:val="0"/>
          <w:numId w:val="10"/>
        </w:numPr>
      </w:pPr>
      <w:r>
        <w:rPr>
          <w:rFonts w:ascii="Calibri" w:hAnsi="Calibri"/>
          <w:b w:val="0"/>
          <w:i w:val="0"/>
          <w:color w:val="17324D"/>
          <w:sz w:val="22"/>
        </w:rPr>
        <w:t>expiration, strike, delta, spread, open interest, volume, and IV context</w:t>
      </w:r>
    </w:p>
    <w:p>
      <w:pPr>
        <w:spacing w:after="80" w:line="300" w:lineRule="auto"/>
        <w:numPr>
          <w:ilvl w:val="0"/>
          <w:numId w:val="10"/>
        </w:numPr>
      </w:pPr>
      <w:r>
        <w:rPr>
          <w:rFonts w:ascii="Calibri" w:hAnsi="Calibri"/>
          <w:b w:val="0"/>
          <w:i w:val="0"/>
          <w:color w:val="17324D"/>
          <w:sz w:val="22"/>
        </w:rPr>
        <w:t>earnings date</w:t>
      </w:r>
    </w:p>
    <w:p>
      <w:pPr>
        <w:spacing w:after="80" w:line="300" w:lineRule="auto"/>
        <w:numPr>
          <w:ilvl w:val="0"/>
          <w:numId w:val="10"/>
        </w:numPr>
      </w:pPr>
      <w:r>
        <w:rPr>
          <w:rFonts w:ascii="Calibri" w:hAnsi="Calibri"/>
          <w:b w:val="0"/>
          <w:i w:val="0"/>
          <w:color w:val="17324D"/>
          <w:sz w:val="22"/>
        </w:rPr>
        <w:t>date of the five-session reassessment</w:t>
      </w:r>
    </w:p>
    <w:p>
      <w:pPr>
        <w:spacing w:after="80" w:line="300" w:lineRule="auto"/>
        <w:numPr>
          <w:ilvl w:val="0"/>
          <w:numId w:val="10"/>
        </w:numPr>
      </w:pPr>
      <w:r>
        <w:rPr>
          <w:rFonts w:ascii="Calibri" w:hAnsi="Calibri"/>
          <w:b w:val="0"/>
          <w:i w:val="0"/>
          <w:color w:val="17324D"/>
          <w:sz w:val="22"/>
        </w:rPr>
        <w:t>date the contract reaches 21 DTE</w:t>
      </w:r>
    </w:p>
    <w:p>
      <w:r>
        <w:rPr>
          <w:rFonts w:ascii="Calibri" w:hAnsi="Calibri"/>
          <w:b w:val="0"/>
          <w:i w:val="0"/>
          <w:color w:val="17324D"/>
          <w:sz w:val="22"/>
        </w:rPr>
        <w:t>If the sentence cannot be stated clearly, the plan is incomplete.</w:t>
      </w:r>
    </w:p>
    <w:p>
      <w:pPr>
        <w:pStyle w:val="Heading1"/>
      </w:pPr>
      <w:r>
        <w:t>11. Management</w:t>
      </w:r>
    </w:p>
    <w:p>
      <w:pPr>
        <w:pStyle w:val="Heading2"/>
      </w:pPr>
      <w:r>
        <w:t>Underlying Invalidation</w:t>
      </w:r>
    </w:p>
    <w:p>
      <w:r>
        <w:rPr>
          <w:rFonts w:ascii="Calibri" w:hAnsi="Calibri"/>
          <w:b w:val="0"/>
          <w:i w:val="0"/>
          <w:color w:val="17324D"/>
          <w:sz w:val="22"/>
        </w:rPr>
        <w:t>The stock chart defines whether the thesis remains valid. Confirm the chosen invalidation rule before entry and apply it consistently. Do not move the level simply because the option is down.</w:t>
      </w:r>
    </w:p>
    <w:p>
      <w:pPr>
        <w:pStyle w:val="Heading2"/>
      </w:pPr>
      <w:r>
        <w:t>Five-Session Reassessment</w:t>
      </w:r>
    </w:p>
    <w:p>
      <w:r>
        <w:rPr>
          <w:rFonts w:ascii="Calibri" w:hAnsi="Calibri"/>
          <w:b w:val="0"/>
          <w:i w:val="0"/>
          <w:color w:val="17324D"/>
          <w:sz w:val="22"/>
        </w:rPr>
        <w:t>After five sessions without meaningful progress, reassess the entire idea. Check whether the trigger remains valid, the stock is still leading, the market regime is healthy, and the remaining contract still expresses the thesis efficiently. Reassessment can lead to an exit even when the chart has not fully broken.</w:t>
      </w:r>
    </w:p>
    <w:p>
      <w:pPr>
        <w:pStyle w:val="Heading2"/>
      </w:pPr>
      <w:r>
        <w:t>Earnings</w:t>
      </w:r>
    </w:p>
    <w:p>
      <w:r>
        <w:rPr>
          <w:rFonts w:ascii="Calibri" w:hAnsi="Calibri"/>
          <w:b w:val="0"/>
          <w:i w:val="0"/>
          <w:color w:val="17324D"/>
          <w:sz w:val="22"/>
        </w:rPr>
        <w:t>Do not hold this profile through earnings. Earnings can change price and implied volatility discontinuously. A new earnings date inside the window changes the plan.</w:t>
      </w:r>
    </w:p>
    <w:p>
      <w:pPr>
        <w:pStyle w:val="Heading2"/>
      </w:pPr>
      <w:r>
        <w:t>Twenty-One DTE</w:t>
      </w:r>
    </w:p>
    <w:p>
      <w:r>
        <w:rPr>
          <w:rFonts w:ascii="Calibri" w:hAnsi="Calibri"/>
          <w:b w:val="0"/>
          <w:i w:val="0"/>
          <w:color w:val="17324D"/>
          <w:sz w:val="22"/>
        </w:rPr>
        <w:t>At 21 DTE, close or treat continuation as a completely new decision. Re-qualification requires the current chart, current contract, current event calendar, and a new written plan. A roll is not an automatic extension of hope.</w:t>
      </w:r>
    </w:p>
    <w:p>
      <w:pPr>
        <w:pStyle w:val="Heading2"/>
      </w:pPr>
      <w:r>
        <w:t>Full-Premium Awareness</w:t>
      </w:r>
    </w:p>
    <w:p>
      <w:r>
        <w:rPr>
          <w:rFonts w:ascii="Calibri" w:hAnsi="Calibri"/>
          <w:b w:val="0"/>
          <w:i w:val="0"/>
          <w:color w:val="17324D"/>
          <w:sz w:val="22"/>
        </w:rPr>
        <w:t>A stop or planned exit may not fill where expected. Overnight gaps and illiquidity can produce a loss larger than planned. Position size must remain tolerable if the entire premium disappears.</w:t>
      </w:r>
    </w:p>
    <w:p>
      <w:pPr>
        <w:pStyle w:val="Heading1"/>
      </w:pPr>
      <w:r>
        <w:t>12. Portfolio Awareness</w:t>
      </w:r>
    </w:p>
    <w:p>
      <w:r>
        <w:rPr>
          <w:rFonts w:ascii="Calibri" w:hAnsi="Calibri"/>
          <w:b w:val="0"/>
          <w:i w:val="0"/>
          <w:color w:val="17324D"/>
          <w:sz w:val="22"/>
        </w:rPr>
        <w:t>Several technology calls can be one hidden market-factor position. Before adding an idea, review:</w:t>
      </w:r>
    </w:p>
    <w:p>
      <w:pPr>
        <w:spacing w:after="80" w:line="300" w:lineRule="auto"/>
        <w:numPr>
          <w:ilvl w:val="0"/>
          <w:numId w:val="10"/>
        </w:numPr>
      </w:pPr>
      <w:r>
        <w:rPr>
          <w:rFonts w:ascii="Calibri" w:hAnsi="Calibri"/>
          <w:b w:val="0"/>
          <w:i w:val="0"/>
          <w:color w:val="17324D"/>
          <w:sz w:val="22"/>
        </w:rPr>
        <w:t>sector and theme overlap</w:t>
      </w:r>
    </w:p>
    <w:p>
      <w:pPr>
        <w:spacing w:after="80" w:line="300" w:lineRule="auto"/>
        <w:numPr>
          <w:ilvl w:val="0"/>
          <w:numId w:val="10"/>
        </w:numPr>
      </w:pPr>
      <w:r>
        <w:rPr>
          <w:rFonts w:ascii="Calibri" w:hAnsi="Calibri"/>
          <w:b w:val="0"/>
          <w:i w:val="0"/>
          <w:color w:val="17324D"/>
          <w:sz w:val="22"/>
        </w:rPr>
        <w:t>dependence on QQQ or a single macro factor</w:t>
      </w:r>
    </w:p>
    <w:p>
      <w:pPr>
        <w:spacing w:after="80" w:line="300" w:lineRule="auto"/>
        <w:numPr>
          <w:ilvl w:val="0"/>
          <w:numId w:val="10"/>
        </w:numPr>
      </w:pPr>
      <w:r>
        <w:rPr>
          <w:rFonts w:ascii="Calibri" w:hAnsi="Calibri"/>
          <w:b w:val="0"/>
          <w:i w:val="0"/>
          <w:color w:val="17324D"/>
          <w:sz w:val="22"/>
        </w:rPr>
        <w:t>shared earnings or industry events</w:t>
      </w:r>
    </w:p>
    <w:p>
      <w:pPr>
        <w:spacing w:after="80" w:line="300" w:lineRule="auto"/>
        <w:numPr>
          <w:ilvl w:val="0"/>
          <w:numId w:val="10"/>
        </w:numPr>
      </w:pPr>
      <w:r>
        <w:rPr>
          <w:rFonts w:ascii="Calibri" w:hAnsi="Calibri"/>
          <w:b w:val="0"/>
          <w:i w:val="0"/>
          <w:color w:val="17324D"/>
          <w:sz w:val="22"/>
        </w:rPr>
        <w:t>total premium exposed</w:t>
      </w:r>
    </w:p>
    <w:p>
      <w:pPr>
        <w:spacing w:after="80" w:line="300" w:lineRule="auto"/>
        <w:numPr>
          <w:ilvl w:val="0"/>
          <w:numId w:val="10"/>
        </w:numPr>
      </w:pPr>
      <w:r>
        <w:rPr>
          <w:rFonts w:ascii="Calibri" w:hAnsi="Calibri"/>
          <w:b w:val="0"/>
          <w:i w:val="0"/>
          <w:color w:val="17324D"/>
          <w:sz w:val="22"/>
        </w:rPr>
        <w:t>total loss if every open option became worthless</w:t>
      </w:r>
    </w:p>
    <w:p>
      <w:r>
        <w:rPr>
          <w:rFonts w:ascii="Calibri" w:hAnsi="Calibri"/>
          <w:b w:val="0"/>
          <w:i w:val="0"/>
          <w:color w:val="17324D"/>
          <w:sz w:val="22"/>
        </w:rPr>
        <w:t>The screener does not know the portfolio. This review remains manual.</w:t>
      </w:r>
    </w:p>
    <w:p>
      <w:pPr>
        <w:pStyle w:val="Heading1"/>
      </w:pPr>
      <w:r>
        <w:t>13. Daily Routine</w:t>
      </w:r>
    </w:p>
    <w:p>
      <w:pPr>
        <w:pStyle w:val="Heading2"/>
      </w:pPr>
      <w:r>
        <w:t>Nightly</w:t>
      </w:r>
    </w:p>
    <w:p>
      <w:pPr>
        <w:spacing w:after="80" w:line="300" w:lineRule="auto"/>
        <w:numPr>
          <w:ilvl w:val="0"/>
          <w:numId w:val="11"/>
        </w:numPr>
      </w:pPr>
      <w:r>
        <w:rPr>
          <w:rFonts w:ascii="Calibri" w:hAnsi="Calibri"/>
          <w:b w:val="0"/>
          <w:i w:val="0"/>
          <w:color w:val="17324D"/>
          <w:sz w:val="22"/>
        </w:rPr>
        <w:t>Read Ready and Ready - Verify first.</w:t>
      </w:r>
    </w:p>
    <w:p>
      <w:pPr>
        <w:spacing w:after="80" w:line="300" w:lineRule="auto"/>
        <w:numPr>
          <w:ilvl w:val="0"/>
          <w:numId w:val="11"/>
        </w:numPr>
      </w:pPr>
      <w:r>
        <w:rPr>
          <w:rFonts w:ascii="Calibri" w:hAnsi="Calibri"/>
          <w:b w:val="0"/>
          <w:i w:val="0"/>
          <w:color w:val="17324D"/>
          <w:sz w:val="22"/>
        </w:rPr>
        <w:t>Review the daily chart and identify real support and resistance.</w:t>
      </w:r>
    </w:p>
    <w:p>
      <w:pPr>
        <w:spacing w:after="80" w:line="300" w:lineRule="auto"/>
        <w:numPr>
          <w:ilvl w:val="0"/>
          <w:numId w:val="11"/>
        </w:numPr>
      </w:pPr>
      <w:r>
        <w:rPr>
          <w:rFonts w:ascii="Calibri" w:hAnsi="Calibri"/>
          <w:b w:val="0"/>
          <w:i w:val="0"/>
          <w:color w:val="17324D"/>
          <w:sz w:val="22"/>
        </w:rPr>
        <w:t>Confirm earnings and event dates.</w:t>
      </w:r>
    </w:p>
    <w:p>
      <w:pPr>
        <w:spacing w:after="80" w:line="300" w:lineRule="auto"/>
        <w:numPr>
          <w:ilvl w:val="0"/>
          <w:numId w:val="11"/>
        </w:numPr>
      </w:pPr>
      <w:r>
        <w:rPr>
          <w:rFonts w:ascii="Calibri" w:hAnsi="Calibri"/>
          <w:b w:val="0"/>
          <w:i w:val="0"/>
          <w:color w:val="17324D"/>
          <w:sz w:val="22"/>
        </w:rPr>
        <w:t>Open the live option chain and verify the contract gates.</w:t>
      </w:r>
    </w:p>
    <w:p>
      <w:pPr>
        <w:spacing w:after="80" w:line="300" w:lineRule="auto"/>
        <w:numPr>
          <w:ilvl w:val="0"/>
          <w:numId w:val="11"/>
        </w:numPr>
      </w:pPr>
      <w:r>
        <w:rPr>
          <w:rFonts w:ascii="Calibri" w:hAnsi="Calibri"/>
          <w:b w:val="0"/>
          <w:i w:val="0"/>
          <w:color w:val="17324D"/>
          <w:sz w:val="22"/>
        </w:rPr>
        <w:t>Write tomorrow's trigger, invalidation, and alert.</w:t>
      </w:r>
    </w:p>
    <w:p>
      <w:pPr>
        <w:spacing w:after="80" w:line="300" w:lineRule="auto"/>
        <w:numPr>
          <w:ilvl w:val="0"/>
          <w:numId w:val="11"/>
        </w:numPr>
      </w:pPr>
      <w:r>
        <w:rPr>
          <w:rFonts w:ascii="Calibri" w:hAnsi="Calibri"/>
          <w:b w:val="0"/>
          <w:i w:val="0"/>
          <w:color w:val="17324D"/>
          <w:sz w:val="22"/>
        </w:rPr>
        <w:t>Review open ideas for five-session and 21-DTE dates.</w:t>
      </w:r>
    </w:p>
    <w:p>
      <w:pPr>
        <w:pStyle w:val="Heading2"/>
      </w:pPr>
      <w:r>
        <w:t>During The Session</w:t>
      </w:r>
    </w:p>
    <w:p>
      <w:pPr>
        <w:spacing w:after="80" w:line="300" w:lineRule="auto"/>
        <w:numPr>
          <w:ilvl w:val="0"/>
          <w:numId w:val="11"/>
        </w:numPr>
      </w:pPr>
      <w:r>
        <w:rPr>
          <w:rFonts w:ascii="Calibri" w:hAnsi="Calibri"/>
          <w:b w:val="0"/>
          <w:i w:val="0"/>
          <w:color w:val="17324D"/>
          <w:sz w:val="22"/>
        </w:rPr>
        <w:t>Respond only to alerts from prepared names.</w:t>
      </w:r>
    </w:p>
    <w:p>
      <w:pPr>
        <w:spacing w:after="80" w:line="300" w:lineRule="auto"/>
        <w:numPr>
          <w:ilvl w:val="0"/>
          <w:numId w:val="11"/>
        </w:numPr>
      </w:pPr>
      <w:r>
        <w:rPr>
          <w:rFonts w:ascii="Calibri" w:hAnsi="Calibri"/>
          <w:b w:val="0"/>
          <w:i w:val="0"/>
          <w:color w:val="17324D"/>
          <w:sz w:val="22"/>
        </w:rPr>
        <w:t>Wait for a completed four-hour confirmation.</w:t>
      </w:r>
    </w:p>
    <w:p>
      <w:pPr>
        <w:spacing w:after="80" w:line="300" w:lineRule="auto"/>
        <w:numPr>
          <w:ilvl w:val="0"/>
          <w:numId w:val="11"/>
        </w:numPr>
      </w:pPr>
      <w:r>
        <w:rPr>
          <w:rFonts w:ascii="Calibri" w:hAnsi="Calibri"/>
          <w:b w:val="0"/>
          <w:i w:val="0"/>
          <w:color w:val="17324D"/>
          <w:sz w:val="22"/>
        </w:rPr>
        <w:t>Recheck the live chain before making a decision.</w:t>
      </w:r>
    </w:p>
    <w:p>
      <w:pPr>
        <w:spacing w:after="80" w:line="300" w:lineRule="auto"/>
        <w:numPr>
          <w:ilvl w:val="0"/>
          <w:numId w:val="11"/>
        </w:numPr>
      </w:pPr>
      <w:r>
        <w:rPr>
          <w:rFonts w:ascii="Calibri" w:hAnsi="Calibri"/>
          <w:b w:val="0"/>
          <w:i w:val="0"/>
          <w:color w:val="17324D"/>
          <w:sz w:val="22"/>
        </w:rPr>
        <w:t>Reject a trade that became extended or expensive after the alert.</w:t>
      </w:r>
    </w:p>
    <w:p>
      <w:pPr>
        <w:pStyle w:val="Heading2"/>
      </w:pPr>
      <w:r>
        <w:t>After The Session</w:t>
      </w:r>
    </w:p>
    <w:p>
      <w:pPr>
        <w:spacing w:after="80" w:line="300" w:lineRule="auto"/>
        <w:numPr>
          <w:ilvl w:val="0"/>
          <w:numId w:val="11"/>
        </w:numPr>
      </w:pPr>
      <w:r>
        <w:rPr>
          <w:rFonts w:ascii="Calibri" w:hAnsi="Calibri"/>
          <w:b w:val="0"/>
          <w:i w:val="0"/>
          <w:color w:val="17324D"/>
          <w:sz w:val="22"/>
        </w:rPr>
        <w:t>Record decisions and screenshots.</w:t>
      </w:r>
    </w:p>
    <w:p>
      <w:pPr>
        <w:spacing w:after="80" w:line="300" w:lineRule="auto"/>
        <w:numPr>
          <w:ilvl w:val="0"/>
          <w:numId w:val="11"/>
        </w:numPr>
      </w:pPr>
      <w:r>
        <w:rPr>
          <w:rFonts w:ascii="Calibri" w:hAnsi="Calibri"/>
          <w:b w:val="0"/>
          <w:i w:val="0"/>
          <w:color w:val="17324D"/>
          <w:sz w:val="22"/>
        </w:rPr>
        <w:t>Separate process quality from P&amp;L.</w:t>
      </w:r>
    </w:p>
    <w:p>
      <w:pPr>
        <w:spacing w:after="80" w:line="300" w:lineRule="auto"/>
        <w:numPr>
          <w:ilvl w:val="0"/>
          <w:numId w:val="11"/>
        </w:numPr>
      </w:pPr>
      <w:r>
        <w:rPr>
          <w:rFonts w:ascii="Calibri" w:hAnsi="Calibri"/>
          <w:b w:val="0"/>
          <w:i w:val="0"/>
          <w:color w:val="17324D"/>
          <w:sz w:val="22"/>
        </w:rPr>
        <w:t>Note any rule that was unclear before changing it.</w:t>
      </w:r>
    </w:p>
    <w:p>
      <w:pPr>
        <w:pStyle w:val="Heading1"/>
      </w:pPr>
      <w:r>
        <w:t>14. Journal And Review</w:t>
      </w:r>
    </w:p>
    <w:p>
      <w:r>
        <w:rPr>
          <w:rFonts w:ascii="Calibri" w:hAnsi="Calibri"/>
          <w:b w:val="0"/>
          <w:i w:val="0"/>
          <w:color w:val="17324D"/>
          <w:sz w:val="22"/>
        </w:rPr>
        <w:t>Track every reviewed setup, including decisions not to enter.</w:t>
      </w:r>
    </w:p>
    <w:p>
      <w:pPr>
        <w:pStyle w:val="Heading2"/>
      </w:pPr>
      <w:r>
        <w:t>Required Fields</w:t>
      </w:r>
    </w:p>
    <w:p>
      <w:pPr>
        <w:spacing w:after="80" w:line="300" w:lineRule="auto"/>
        <w:numPr>
          <w:ilvl w:val="0"/>
          <w:numId w:val="10"/>
        </w:numPr>
      </w:pPr>
      <w:r>
        <w:rPr>
          <w:rFonts w:ascii="Calibri" w:hAnsi="Calibri"/>
          <w:b w:val="0"/>
          <w:i w:val="0"/>
          <w:color w:val="17324D"/>
          <w:sz w:val="22"/>
        </w:rPr>
        <w:t>date, ticker, sector, and market regime</w:t>
      </w:r>
    </w:p>
    <w:p>
      <w:pPr>
        <w:spacing w:after="80" w:line="300" w:lineRule="auto"/>
        <w:numPr>
          <w:ilvl w:val="0"/>
          <w:numId w:val="10"/>
        </w:numPr>
      </w:pPr>
      <w:r>
        <w:rPr>
          <w:rFonts w:ascii="Calibri" w:hAnsi="Calibri"/>
          <w:b w:val="0"/>
          <w:i w:val="0"/>
          <w:color w:val="17324D"/>
          <w:sz w:val="22"/>
        </w:rPr>
        <w:t>setup state and playbook</w:t>
      </w:r>
    </w:p>
    <w:p>
      <w:pPr>
        <w:spacing w:after="80" w:line="300" w:lineRule="auto"/>
        <w:numPr>
          <w:ilvl w:val="0"/>
          <w:numId w:val="10"/>
        </w:numPr>
      </w:pPr>
      <w:r>
        <w:rPr>
          <w:rFonts w:ascii="Calibri" w:hAnsi="Calibri"/>
          <w:b w:val="0"/>
          <w:i w:val="0"/>
          <w:color w:val="17324D"/>
          <w:sz w:val="22"/>
        </w:rPr>
        <w:t>daily and four-hour screenshots</w:t>
      </w:r>
    </w:p>
    <w:p>
      <w:pPr>
        <w:spacing w:after="80" w:line="300" w:lineRule="auto"/>
        <w:numPr>
          <w:ilvl w:val="0"/>
          <w:numId w:val="10"/>
        </w:numPr>
      </w:pPr>
      <w:r>
        <w:rPr>
          <w:rFonts w:ascii="Calibri" w:hAnsi="Calibri"/>
          <w:b w:val="0"/>
          <w:i w:val="0"/>
          <w:color w:val="17324D"/>
          <w:sz w:val="22"/>
        </w:rPr>
        <w:t>trigger, support, invalidation, and target basis</w:t>
      </w:r>
    </w:p>
    <w:p>
      <w:pPr>
        <w:spacing w:after="80" w:line="300" w:lineRule="auto"/>
        <w:numPr>
          <w:ilvl w:val="0"/>
          <w:numId w:val="10"/>
        </w:numPr>
      </w:pPr>
      <w:r>
        <w:rPr>
          <w:rFonts w:ascii="Calibri" w:hAnsi="Calibri"/>
          <w:b w:val="0"/>
          <w:i w:val="0"/>
          <w:color w:val="17324D"/>
          <w:sz w:val="22"/>
        </w:rPr>
        <w:t>contract details at decision time</w:t>
      </w:r>
    </w:p>
    <w:p>
      <w:pPr>
        <w:spacing w:after="80" w:line="300" w:lineRule="auto"/>
        <w:numPr>
          <w:ilvl w:val="0"/>
          <w:numId w:val="10"/>
        </w:numPr>
      </w:pPr>
      <w:r>
        <w:rPr>
          <w:rFonts w:ascii="Calibri" w:hAnsi="Calibri"/>
          <w:b w:val="0"/>
          <w:i w:val="0"/>
          <w:color w:val="17324D"/>
          <w:sz w:val="22"/>
        </w:rPr>
        <w:t>earnings date and known events</w:t>
      </w:r>
    </w:p>
    <w:p>
      <w:pPr>
        <w:spacing w:after="80" w:line="300" w:lineRule="auto"/>
        <w:numPr>
          <w:ilvl w:val="0"/>
          <w:numId w:val="10"/>
        </w:numPr>
      </w:pPr>
      <w:r>
        <w:rPr>
          <w:rFonts w:ascii="Calibri" w:hAnsi="Calibri"/>
          <w:b w:val="0"/>
          <w:i w:val="0"/>
          <w:color w:val="17324D"/>
          <w:sz w:val="22"/>
        </w:rPr>
        <w:t>decision and reason</w:t>
      </w:r>
    </w:p>
    <w:p>
      <w:pPr>
        <w:spacing w:after="80" w:line="300" w:lineRule="auto"/>
        <w:numPr>
          <w:ilvl w:val="0"/>
          <w:numId w:val="10"/>
        </w:numPr>
      </w:pPr>
      <w:r>
        <w:rPr>
          <w:rFonts w:ascii="Calibri" w:hAnsi="Calibri"/>
          <w:b w:val="0"/>
          <w:i w:val="0"/>
          <w:color w:val="17324D"/>
          <w:sz w:val="22"/>
        </w:rPr>
        <w:t>process deviations</w:t>
      </w:r>
    </w:p>
    <w:p>
      <w:pPr>
        <w:spacing w:after="80" w:line="300" w:lineRule="auto"/>
        <w:numPr>
          <w:ilvl w:val="0"/>
          <w:numId w:val="10"/>
        </w:numPr>
      </w:pPr>
      <w:r>
        <w:rPr>
          <w:rFonts w:ascii="Calibri" w:hAnsi="Calibri"/>
          <w:b w:val="0"/>
          <w:i w:val="0"/>
          <w:color w:val="17324D"/>
          <w:sz w:val="22"/>
        </w:rPr>
        <w:t>outcome measured consistently</w:t>
      </w:r>
    </w:p>
    <w:p>
      <w:pPr>
        <w:pStyle w:val="Heading2"/>
      </w:pPr>
      <w:r>
        <w:t>Process Tags</w:t>
      </w:r>
    </w:p>
    <w:p>
      <w:pPr>
        <w:spacing w:after="80" w:line="300" w:lineRule="auto"/>
        <w:numPr>
          <w:ilvl w:val="0"/>
          <w:numId w:val="10"/>
        </w:numPr>
      </w:pPr>
      <w:r>
        <w:rPr>
          <w:rFonts w:ascii="Menlo" w:hAnsi="Menlo"/>
          <w:color w:val="2F6F73"/>
          <w:sz w:val="19"/>
        </w:rPr>
        <w:t>clean</w:t>
      </w:r>
      <w:r>
        <w:rPr>
          <w:rFonts w:ascii="Calibri" w:hAnsi="Calibri"/>
          <w:b w:val="0"/>
          <w:i w:val="0"/>
          <w:color w:val="17324D"/>
          <w:sz w:val="22"/>
        </w:rPr>
        <w:t>: followed the written plan</w:t>
      </w:r>
    </w:p>
    <w:p>
      <w:pPr>
        <w:spacing w:after="80" w:line="300" w:lineRule="auto"/>
        <w:numPr>
          <w:ilvl w:val="0"/>
          <w:numId w:val="10"/>
        </w:numPr>
      </w:pPr>
      <w:r>
        <w:rPr>
          <w:rFonts w:ascii="Menlo" w:hAnsi="Menlo"/>
          <w:color w:val="2F6F73"/>
          <w:sz w:val="19"/>
        </w:rPr>
        <w:t>late</w:t>
      </w:r>
      <w:r>
        <w:rPr>
          <w:rFonts w:ascii="Calibri" w:hAnsi="Calibri"/>
          <w:b w:val="0"/>
          <w:i w:val="0"/>
          <w:color w:val="17324D"/>
          <w:sz w:val="22"/>
        </w:rPr>
        <w:t>: entered after the current trigger</w:t>
      </w:r>
    </w:p>
    <w:p>
      <w:pPr>
        <w:spacing w:after="80" w:line="300" w:lineRule="auto"/>
        <w:numPr>
          <w:ilvl w:val="0"/>
          <w:numId w:val="10"/>
        </w:numPr>
      </w:pPr>
      <w:r>
        <w:rPr>
          <w:rFonts w:ascii="Menlo" w:hAnsi="Menlo"/>
          <w:color w:val="2F6F73"/>
          <w:sz w:val="19"/>
        </w:rPr>
        <w:t>extended</w:t>
      </w:r>
      <w:r>
        <w:rPr>
          <w:rFonts w:ascii="Calibri" w:hAnsi="Calibri"/>
          <w:b w:val="0"/>
          <w:i w:val="0"/>
          <w:color w:val="17324D"/>
          <w:sz w:val="22"/>
        </w:rPr>
        <w:t>: accepted poor location</w:t>
      </w:r>
    </w:p>
    <w:p>
      <w:pPr>
        <w:spacing w:after="80" w:line="300" w:lineRule="auto"/>
        <w:numPr>
          <w:ilvl w:val="0"/>
          <w:numId w:val="10"/>
        </w:numPr>
      </w:pPr>
      <w:r>
        <w:rPr>
          <w:rFonts w:ascii="Menlo" w:hAnsi="Menlo"/>
          <w:color w:val="2F6F73"/>
          <w:sz w:val="19"/>
        </w:rPr>
        <w:t>contract</w:t>
      </w:r>
      <w:r>
        <w:rPr>
          <w:rFonts w:ascii="Calibri" w:hAnsi="Calibri"/>
          <w:b w:val="0"/>
          <w:i w:val="0"/>
          <w:color w:val="17324D"/>
          <w:sz w:val="22"/>
        </w:rPr>
        <w:t>: ignored DTE, delta, spread, liquidity, or IV</w:t>
      </w:r>
    </w:p>
    <w:p>
      <w:pPr>
        <w:spacing w:after="80" w:line="300" w:lineRule="auto"/>
        <w:numPr>
          <w:ilvl w:val="0"/>
          <w:numId w:val="10"/>
        </w:numPr>
      </w:pPr>
      <w:r>
        <w:rPr>
          <w:rFonts w:ascii="Menlo" w:hAnsi="Menlo"/>
          <w:color w:val="2F6F73"/>
          <w:sz w:val="19"/>
        </w:rPr>
        <w:t>event</w:t>
      </w:r>
      <w:r>
        <w:rPr>
          <w:rFonts w:ascii="Calibri" w:hAnsi="Calibri"/>
          <w:b w:val="0"/>
          <w:i w:val="0"/>
          <w:color w:val="17324D"/>
          <w:sz w:val="22"/>
        </w:rPr>
        <w:t>: missed earnings or another known event</w:t>
      </w:r>
    </w:p>
    <w:p>
      <w:pPr>
        <w:spacing w:after="80" w:line="300" w:lineRule="auto"/>
        <w:numPr>
          <w:ilvl w:val="0"/>
          <w:numId w:val="10"/>
        </w:numPr>
      </w:pPr>
      <w:r>
        <w:rPr>
          <w:rFonts w:ascii="Menlo" w:hAnsi="Menlo"/>
          <w:color w:val="2F6F73"/>
          <w:sz w:val="19"/>
        </w:rPr>
        <w:t>management</w:t>
      </w:r>
      <w:r>
        <w:rPr>
          <w:rFonts w:ascii="Calibri" w:hAnsi="Calibri"/>
          <w:b w:val="0"/>
          <w:i w:val="0"/>
          <w:color w:val="17324D"/>
          <w:sz w:val="22"/>
        </w:rPr>
        <w:t>: changed invalidation or failed to reassess</w:t>
      </w:r>
    </w:p>
    <w:p>
      <w:pPr>
        <w:spacing w:after="80" w:line="300" w:lineRule="auto"/>
        <w:numPr>
          <w:ilvl w:val="0"/>
          <w:numId w:val="10"/>
        </w:numPr>
      </w:pPr>
      <w:r>
        <w:rPr>
          <w:rFonts w:ascii="Menlo" w:hAnsi="Menlo"/>
          <w:color w:val="2F6F73"/>
          <w:sz w:val="19"/>
        </w:rPr>
        <w:t>correlation</w:t>
      </w:r>
      <w:r>
        <w:rPr>
          <w:rFonts w:ascii="Calibri" w:hAnsi="Calibri"/>
          <w:b w:val="0"/>
          <w:i w:val="0"/>
          <w:color w:val="17324D"/>
          <w:sz w:val="22"/>
        </w:rPr>
        <w:t>: duplicated an existing exposure</w:t>
      </w:r>
    </w:p>
    <w:p>
      <w:r>
        <w:rPr>
          <w:rFonts w:ascii="Calibri" w:hAnsi="Calibri"/>
          <w:b w:val="0"/>
          <w:i w:val="0"/>
          <w:color w:val="17324D"/>
          <w:sz w:val="22"/>
        </w:rPr>
        <w:t>The purpose is not to label yourself a winner or loser. It is to identify which actions are repeatable and which actions damage the process.</w:t>
      </w:r>
    </w:p>
    <w:p>
      <w:pPr>
        <w:pStyle w:val="Heading1"/>
      </w:pPr>
      <w:r>
        <w:t>15. Mastery Program</w:t>
      </w:r>
    </w:p>
    <w:p>
      <w:pPr>
        <w:pStyle w:val="Heading2"/>
      </w:pPr>
      <w:r>
        <w:t>Stage 1: Mechanics</w:t>
      </w:r>
    </w:p>
    <w:p>
      <w:r>
        <w:rPr>
          <w:rFonts w:ascii="Calibri" w:hAnsi="Calibri"/>
          <w:b w:val="0"/>
          <w:i w:val="0"/>
          <w:color w:val="17324D"/>
          <w:sz w:val="22"/>
        </w:rPr>
        <w:t>Learn calls, puts, assignment, exercise, expiration, intrinsic and extrinsic value, volatility, skew, and all four primary Greeks. Use calculators until mark-to-market behavior is intuitive.</w:t>
      </w:r>
    </w:p>
    <w:p>
      <w:pPr>
        <w:pStyle w:val="Heading2"/>
      </w:pPr>
      <w:r>
        <w:t>Stage 2: Chart Replay</w:t>
      </w:r>
    </w:p>
    <w:p>
      <w:r>
        <w:rPr>
          <w:rFonts w:ascii="Calibri" w:hAnsi="Calibri"/>
          <w:b w:val="0"/>
          <w:i w:val="0"/>
          <w:color w:val="17324D"/>
          <w:sz w:val="22"/>
        </w:rPr>
        <w:t>Replay at least 50 pullbacks and 25 breakouts. Mark the setup using only information available at the time. Record whether the trigger, invalidation, and target were objective.</w:t>
      </w:r>
    </w:p>
    <w:p>
      <w:pPr>
        <w:pStyle w:val="Heading2"/>
      </w:pPr>
      <w:r>
        <w:t>Stage 3: Chain Fluency</w:t>
      </w:r>
    </w:p>
    <w:p>
      <w:r>
        <w:rPr>
          <w:rFonts w:ascii="Calibri" w:hAnsi="Calibri"/>
          <w:b w:val="0"/>
          <w:i w:val="0"/>
          <w:color w:val="17324D"/>
          <w:sz w:val="22"/>
        </w:rPr>
        <w:t>For 20 sessions, inspect at least one live chain. Find the 30-60 DTE contracts, locate the 0.45-0.65 delta band, calculate spread percentage, and compare IV across strikes and dates.</w:t>
      </w:r>
    </w:p>
    <w:p>
      <w:pPr>
        <w:pStyle w:val="Heading2"/>
      </w:pPr>
      <w:r>
        <w:t>Stage 4: Forward Simulation</w:t>
      </w:r>
    </w:p>
    <w:p>
      <w:r>
        <w:rPr>
          <w:rFonts w:ascii="Calibri" w:hAnsi="Calibri"/>
          <w:b w:val="0"/>
          <w:i w:val="0"/>
          <w:color w:val="17324D"/>
          <w:sz w:val="22"/>
        </w:rPr>
        <w:t>Run at least 30 fully documented paper decisions without changing rules mid-sample. Include setups you correctly rejected. Review process errors separately from outcomes.</w:t>
      </w:r>
    </w:p>
    <w:p>
      <w:pPr>
        <w:pStyle w:val="Heading2"/>
      </w:pPr>
      <w:r>
        <w:t>Stage 5: Minimum Size</w:t>
      </w:r>
    </w:p>
    <w:p>
      <w:r>
        <w:rPr>
          <w:rFonts w:ascii="Calibri" w:hAnsi="Calibri"/>
          <w:b w:val="0"/>
          <w:i w:val="0"/>
          <w:color w:val="17324D"/>
          <w:sz w:val="22"/>
        </w:rPr>
        <w:t>Only after the process is stable should live execution be considered, using size small enough that emotion does not rewrite the plan. Scaling requires a meaningful live sample, clean records, and tolerable drawdowns; confidence alone is not evidence.</w:t>
      </w:r>
    </w:p>
    <w:p>
      <w:pPr>
        <w:pStyle w:val="Heading1"/>
      </w:pPr>
      <w:r>
        <w:t>16. Drills</w:t>
      </w:r>
    </w:p>
    <w:p>
      <w:pPr>
        <w:pStyle w:val="Heading2"/>
      </w:pPr>
      <w:r>
        <w:t>Drill 1: Upward Drift Versus Option Clock</w:t>
      </w:r>
    </w:p>
    <w:p>
      <w:r>
        <w:rPr>
          <w:rFonts w:ascii="Calibri" w:hAnsi="Calibri"/>
          <w:b w:val="0"/>
          <w:i w:val="0"/>
          <w:color w:val="17324D"/>
          <w:sz w:val="22"/>
        </w:rPr>
        <w:t>Find ten periods when QQQ eventually rose but spent four to eight weeks below its prior high. Price a hypothetical short-dated call and a longer-dated call through each period. Learn why direction and timing are separate claims.</w:t>
      </w:r>
    </w:p>
    <w:p>
      <w:pPr>
        <w:pStyle w:val="Heading2"/>
      </w:pPr>
      <w:r>
        <w:t>Drill 2: Pullback Classification</w:t>
      </w:r>
    </w:p>
    <w:p>
      <w:r>
        <w:rPr>
          <w:rFonts w:ascii="Calibri" w:hAnsi="Calibri"/>
          <w:b w:val="0"/>
          <w:i w:val="0"/>
          <w:color w:val="17324D"/>
          <w:sz w:val="22"/>
        </w:rPr>
        <w:t>Collect 25 charts and classify each pullback as controlled, damaged, extended, or unclear. Write the invalidation before revealing subsequent candles.</w:t>
      </w:r>
    </w:p>
    <w:p>
      <w:pPr>
        <w:pStyle w:val="Heading2"/>
      </w:pPr>
      <w:r>
        <w:t>Drill 3: Contract Comparison</w:t>
      </w:r>
    </w:p>
    <w:p>
      <w:r>
        <w:rPr>
          <w:rFonts w:ascii="Calibri" w:hAnsi="Calibri"/>
          <w:b w:val="0"/>
          <w:i w:val="0"/>
          <w:color w:val="17324D"/>
          <w:sz w:val="22"/>
        </w:rPr>
        <w:t>Compare three expirations and three deltas on the same stock. Estimate each contract's response to up, flat, and down scenarios over five sessions, then check a calculator.</w:t>
      </w:r>
    </w:p>
    <w:p>
      <w:pPr>
        <w:pStyle w:val="Heading2"/>
      </w:pPr>
      <w:r>
        <w:t>Drill 4: Spread Math</w:t>
      </w:r>
    </w:p>
    <w:p>
      <w:r>
        <w:rPr>
          <w:rFonts w:ascii="Calibri" w:hAnsi="Calibri"/>
          <w:b w:val="0"/>
          <w:i w:val="0"/>
          <w:color w:val="17324D"/>
          <w:sz w:val="22"/>
        </w:rPr>
        <w:t xml:space="preserve">Calculate spread percentage as </w:t>
      </w:r>
      <w:r>
        <w:rPr>
          <w:rFonts w:ascii="Menlo" w:hAnsi="Menlo"/>
          <w:color w:val="2F6F73"/>
          <w:sz w:val="19"/>
        </w:rPr>
        <w:t>(ask - bid) / mid</w:t>
      </w:r>
      <w:r>
        <w:rPr>
          <w:rFonts w:ascii="Calibri" w:hAnsi="Calibri"/>
          <w:b w:val="0"/>
          <w:i w:val="0"/>
          <w:color w:val="17324D"/>
          <w:sz w:val="22"/>
        </w:rPr>
        <w:t>. Practice until an 8% spread can be recognized immediately without relying on the screener.</w:t>
      </w:r>
    </w:p>
    <w:p>
      <w:pPr>
        <w:pStyle w:val="Heading2"/>
      </w:pPr>
      <w:r>
        <w:t>Drill 5: Explain The Trade</w:t>
      </w:r>
    </w:p>
    <w:p>
      <w:r>
        <w:rPr>
          <w:rFonts w:ascii="Calibri" w:hAnsi="Calibri"/>
          <w:b w:val="0"/>
          <w:i w:val="0"/>
          <w:color w:val="17324D"/>
          <w:sz w:val="22"/>
        </w:rPr>
        <w:t>Explain a candidate aloud in sixty seconds without mentioning certainty, guaranteed direction, or a score as probability. State what confirms it and what disproves it.</w:t>
      </w:r>
    </w:p>
    <w:p>
      <w:pPr>
        <w:pStyle w:val="Heading1"/>
      </w:pPr>
      <w:r>
        <w:t>17. Failure Modes</w:t>
      </w:r>
    </w:p>
    <w:p>
      <w:pPr>
        <w:pStyle w:val="Heading2"/>
      </w:pPr>
      <w:r>
        <w:t>Treating Long-Term Drift As Short-Term Certainty</w:t>
      </w:r>
    </w:p>
    <w:p>
      <w:r>
        <w:rPr>
          <w:rFonts w:ascii="Calibri" w:hAnsi="Calibri"/>
          <w:b w:val="0"/>
          <w:i w:val="0"/>
          <w:color w:val="17324D"/>
          <w:sz w:val="22"/>
        </w:rPr>
        <w:t>The bullish preference is a filter, not a guarantee about the next month.</w:t>
      </w:r>
    </w:p>
    <w:p>
      <w:pPr>
        <w:pStyle w:val="Heading2"/>
      </w:pPr>
      <w:r>
        <w:t>Chasing</w:t>
      </w:r>
    </w:p>
    <w:p>
      <w:r>
        <w:rPr>
          <w:rFonts w:ascii="Calibri" w:hAnsi="Calibri"/>
          <w:b w:val="0"/>
          <w:i w:val="0"/>
          <w:color w:val="17324D"/>
          <w:sz w:val="22"/>
        </w:rPr>
        <w:t>A strong company can still be a poor entry. Extension changes the location and contract.</w:t>
      </w:r>
    </w:p>
    <w:p>
      <w:pPr>
        <w:pStyle w:val="Heading2"/>
      </w:pPr>
      <w:r>
        <w:t>Buying The Wrong Contract</w:t>
      </w:r>
    </w:p>
    <w:p>
      <w:r>
        <w:rPr>
          <w:rFonts w:ascii="Calibri" w:hAnsi="Calibri"/>
          <w:b w:val="0"/>
          <w:i w:val="0"/>
          <w:color w:val="17324D"/>
          <w:sz w:val="22"/>
        </w:rPr>
        <w:t>Low delta, short time, wide spreads, or inflated IV can overpower a correct stock thesis.</w:t>
      </w:r>
    </w:p>
    <w:p>
      <w:pPr>
        <w:pStyle w:val="Heading2"/>
      </w:pPr>
      <w:r>
        <w:t>Ignoring Event Risk</w:t>
      </w:r>
    </w:p>
    <w:p>
      <w:r>
        <w:rPr>
          <w:rFonts w:ascii="Calibri" w:hAnsi="Calibri"/>
          <w:b w:val="0"/>
          <w:i w:val="0"/>
          <w:color w:val="17324D"/>
          <w:sz w:val="22"/>
        </w:rPr>
        <w:t>Earnings and major events can invalidate normal assumptions about price and volatility.</w:t>
      </w:r>
    </w:p>
    <w:p>
      <w:pPr>
        <w:pStyle w:val="Heading2"/>
      </w:pPr>
      <w:r>
        <w:t>Score Worship</w:t>
      </w:r>
    </w:p>
    <w:p>
      <w:r>
        <w:rPr>
          <w:rFonts w:ascii="Calibri" w:hAnsi="Calibri"/>
          <w:b w:val="0"/>
          <w:i w:val="0"/>
          <w:color w:val="17324D"/>
          <w:sz w:val="22"/>
        </w:rPr>
        <w:t>A score summarizes rules. It does not replace chart review or contract verification.</w:t>
      </w:r>
    </w:p>
    <w:p>
      <w:pPr>
        <w:pStyle w:val="Heading2"/>
      </w:pPr>
      <w:r>
        <w:t>Outcome-Based Rule Changes</w:t>
      </w:r>
    </w:p>
    <w:p>
      <w:r>
        <w:rPr>
          <w:rFonts w:ascii="Calibri" w:hAnsi="Calibri"/>
          <w:b w:val="0"/>
          <w:i w:val="0"/>
          <w:color w:val="17324D"/>
          <w:sz w:val="22"/>
        </w:rPr>
        <w:t>One favorable or unfavorable outcome is not enough evidence to rewrite the system. Review changes across a documented sample.</w:t>
      </w:r>
    </w:p>
    <w:p>
      <w:pPr>
        <w:pStyle w:val="Heading1"/>
      </w:pPr>
      <w:r>
        <w:t>18. Ready Checklist</w:t>
      </w:r>
    </w:p>
    <w:p>
      <w:pPr>
        <w:spacing w:after="80" w:line="300" w:lineRule="auto"/>
        <w:numPr>
          <w:ilvl w:val="0"/>
          <w:numId w:val="10"/>
        </w:numPr>
      </w:pPr>
      <w:r>
        <w:rPr>
          <w:rFonts w:ascii="Calibri" w:hAnsi="Calibri"/>
          <w:b w:val="0"/>
          <w:i w:val="0"/>
          <w:color w:val="17324D"/>
          <w:sz w:val="22"/>
        </w:rPr>
        <w:t>Market regime is not hostile.</w:t>
      </w:r>
    </w:p>
    <w:p>
      <w:pPr>
        <w:spacing w:after="80" w:line="300" w:lineRule="auto"/>
        <w:numPr>
          <w:ilvl w:val="0"/>
          <w:numId w:val="10"/>
        </w:numPr>
      </w:pPr>
      <w:r>
        <w:rPr>
          <w:rFonts w:ascii="Calibri" w:hAnsi="Calibri"/>
          <w:b w:val="0"/>
          <w:i w:val="0"/>
          <w:color w:val="17324D"/>
          <w:sz w:val="22"/>
        </w:rPr>
        <w:t>Price and moving averages support a durable uptrend.</w:t>
      </w:r>
    </w:p>
    <w:p>
      <w:pPr>
        <w:spacing w:after="80" w:line="300" w:lineRule="auto"/>
        <w:numPr>
          <w:ilvl w:val="0"/>
          <w:numId w:val="10"/>
        </w:numPr>
      </w:pPr>
      <w:r>
        <w:rPr>
          <w:rFonts w:ascii="Calibri" w:hAnsi="Calibri"/>
          <w:b w:val="0"/>
          <w:i w:val="0"/>
          <w:color w:val="17324D"/>
          <w:sz w:val="22"/>
        </w:rPr>
        <w:t>Weekly alignment and relative strength are constructive.</w:t>
      </w:r>
    </w:p>
    <w:p>
      <w:pPr>
        <w:spacing w:after="80" w:line="300" w:lineRule="auto"/>
        <w:numPr>
          <w:ilvl w:val="0"/>
          <w:numId w:val="10"/>
        </w:numPr>
      </w:pPr>
      <w:r>
        <w:rPr>
          <w:rFonts w:ascii="Calibri" w:hAnsi="Calibri"/>
          <w:b w:val="0"/>
          <w:i w:val="0"/>
          <w:color w:val="17324D"/>
          <w:sz w:val="22"/>
        </w:rPr>
        <w:t>Setup is a controlled pullback or current confirmed breakout.</w:t>
      </w:r>
    </w:p>
    <w:p>
      <w:pPr>
        <w:spacing w:after="80" w:line="300" w:lineRule="auto"/>
        <w:numPr>
          <w:ilvl w:val="0"/>
          <w:numId w:val="10"/>
        </w:numPr>
      </w:pPr>
      <w:r>
        <w:rPr>
          <w:rFonts w:ascii="Calibri" w:hAnsi="Calibri"/>
          <w:b w:val="0"/>
          <w:i w:val="0"/>
          <w:color w:val="17324D"/>
          <w:sz w:val="22"/>
        </w:rPr>
        <w:t>Four-hour trigger is complete and current.</w:t>
      </w:r>
    </w:p>
    <w:p>
      <w:pPr>
        <w:spacing w:after="80" w:line="300" w:lineRule="auto"/>
        <w:numPr>
          <w:ilvl w:val="0"/>
          <w:numId w:val="10"/>
        </w:numPr>
      </w:pPr>
      <w:r>
        <w:rPr>
          <w:rFonts w:ascii="Calibri" w:hAnsi="Calibri"/>
          <w:b w:val="0"/>
          <w:i w:val="0"/>
          <w:color w:val="17324D"/>
          <w:sz w:val="22"/>
        </w:rPr>
        <w:t>Price is not extended.</w:t>
      </w:r>
    </w:p>
    <w:p>
      <w:pPr>
        <w:spacing w:after="80" w:line="300" w:lineRule="auto"/>
        <w:numPr>
          <w:ilvl w:val="0"/>
          <w:numId w:val="10"/>
        </w:numPr>
      </w:pPr>
      <w:r>
        <w:rPr>
          <w:rFonts w:ascii="Calibri" w:hAnsi="Calibri"/>
          <w:b w:val="0"/>
          <w:i w:val="0"/>
          <w:color w:val="17324D"/>
          <w:sz w:val="22"/>
        </w:rPr>
        <w:t>Support and underlying invalidation are written.</w:t>
      </w:r>
    </w:p>
    <w:p>
      <w:pPr>
        <w:spacing w:after="80" w:line="300" w:lineRule="auto"/>
        <w:numPr>
          <w:ilvl w:val="0"/>
          <w:numId w:val="10"/>
        </w:numPr>
      </w:pPr>
      <w:r>
        <w:rPr>
          <w:rFonts w:ascii="Calibri" w:hAnsi="Calibri"/>
          <w:b w:val="0"/>
          <w:i w:val="0"/>
          <w:color w:val="17324D"/>
          <w:sz w:val="22"/>
        </w:rPr>
        <w:t>Target basis is identified honestly.</w:t>
      </w:r>
    </w:p>
    <w:p>
      <w:pPr>
        <w:spacing w:after="80" w:line="300" w:lineRule="auto"/>
        <w:numPr>
          <w:ilvl w:val="0"/>
          <w:numId w:val="10"/>
        </w:numPr>
      </w:pPr>
      <w:r>
        <w:rPr>
          <w:rFonts w:ascii="Calibri" w:hAnsi="Calibri"/>
          <w:b w:val="0"/>
          <w:i w:val="0"/>
          <w:color w:val="17324D"/>
          <w:sz w:val="22"/>
        </w:rPr>
        <w:t>Contract is 30-60 DTE when practical.</w:t>
      </w:r>
    </w:p>
    <w:p>
      <w:pPr>
        <w:spacing w:after="80" w:line="300" w:lineRule="auto"/>
        <w:numPr>
          <w:ilvl w:val="0"/>
          <w:numId w:val="10"/>
        </w:numPr>
      </w:pPr>
      <w:r>
        <w:rPr>
          <w:rFonts w:ascii="Calibri" w:hAnsi="Calibri"/>
          <w:b w:val="0"/>
          <w:i w:val="0"/>
          <w:color w:val="17324D"/>
          <w:sz w:val="22"/>
        </w:rPr>
        <w:t>Delta is 0.45-0.65 when practical and never below 0.35 for Ready.</w:t>
      </w:r>
    </w:p>
    <w:p>
      <w:pPr>
        <w:spacing w:after="80" w:line="300" w:lineRule="auto"/>
        <w:numPr>
          <w:ilvl w:val="0"/>
          <w:numId w:val="10"/>
        </w:numPr>
      </w:pPr>
      <w:r>
        <w:rPr>
          <w:rFonts w:ascii="Calibri" w:hAnsi="Calibri"/>
          <w:b w:val="0"/>
          <w:i w:val="0"/>
          <w:color w:val="17324D"/>
          <w:sz w:val="22"/>
        </w:rPr>
        <w:t>Spread is no more than 8% of mid.</w:t>
      </w:r>
    </w:p>
    <w:p>
      <w:pPr>
        <w:spacing w:after="80" w:line="300" w:lineRule="auto"/>
        <w:numPr>
          <w:ilvl w:val="0"/>
          <w:numId w:val="10"/>
        </w:numPr>
      </w:pPr>
      <w:r>
        <w:rPr>
          <w:rFonts w:ascii="Calibri" w:hAnsi="Calibri"/>
          <w:b w:val="0"/>
          <w:i w:val="0"/>
          <w:color w:val="17324D"/>
          <w:sz w:val="22"/>
        </w:rPr>
        <w:t>Open interest is at least 500 and volume at least 100.</w:t>
      </w:r>
    </w:p>
    <w:p>
      <w:pPr>
        <w:spacing w:after="80" w:line="300" w:lineRule="auto"/>
        <w:numPr>
          <w:ilvl w:val="0"/>
          <w:numId w:val="10"/>
        </w:numPr>
      </w:pPr>
      <w:r>
        <w:rPr>
          <w:rFonts w:ascii="Calibri" w:hAnsi="Calibri"/>
          <w:b w:val="0"/>
          <w:i w:val="0"/>
          <w:color w:val="17324D"/>
          <w:sz w:val="22"/>
        </w:rPr>
        <w:t>IV context is understood.</w:t>
      </w:r>
    </w:p>
    <w:p>
      <w:pPr>
        <w:spacing w:after="80" w:line="300" w:lineRule="auto"/>
        <w:numPr>
          <w:ilvl w:val="0"/>
          <w:numId w:val="10"/>
        </w:numPr>
      </w:pPr>
      <w:r>
        <w:rPr>
          <w:rFonts w:ascii="Calibri" w:hAnsi="Calibri"/>
          <w:b w:val="0"/>
          <w:i w:val="0"/>
          <w:color w:val="17324D"/>
          <w:sz w:val="22"/>
        </w:rPr>
        <w:t>Earnings are outside the position window.</w:t>
      </w:r>
    </w:p>
    <w:p>
      <w:pPr>
        <w:spacing w:after="80" w:line="300" w:lineRule="auto"/>
        <w:numPr>
          <w:ilvl w:val="0"/>
          <w:numId w:val="10"/>
        </w:numPr>
      </w:pPr>
      <w:r>
        <w:rPr>
          <w:rFonts w:ascii="Calibri" w:hAnsi="Calibri"/>
          <w:b w:val="0"/>
          <w:i w:val="0"/>
          <w:color w:val="17324D"/>
          <w:sz w:val="22"/>
        </w:rPr>
        <w:t>Five-session and 21-DTE review dates are written.</w:t>
      </w:r>
    </w:p>
    <w:p>
      <w:pPr>
        <w:spacing w:after="80" w:line="300" w:lineRule="auto"/>
        <w:numPr>
          <w:ilvl w:val="0"/>
          <w:numId w:val="10"/>
        </w:numPr>
      </w:pPr>
      <w:r>
        <w:rPr>
          <w:rFonts w:ascii="Calibri" w:hAnsi="Calibri"/>
          <w:b w:val="0"/>
          <w:i w:val="0"/>
          <w:color w:val="17324D"/>
          <w:sz w:val="22"/>
        </w:rPr>
        <w:t>Portfolio correlation is acceptable.</w:t>
      </w:r>
    </w:p>
    <w:p>
      <w:pPr>
        <w:spacing w:after="80" w:line="300" w:lineRule="auto"/>
        <w:numPr>
          <w:ilvl w:val="0"/>
          <w:numId w:val="10"/>
        </w:numPr>
      </w:pPr>
      <w:r>
        <w:rPr>
          <w:rFonts w:ascii="Calibri" w:hAnsi="Calibri"/>
          <w:b w:val="0"/>
          <w:i w:val="0"/>
          <w:color w:val="17324D"/>
          <w:sz w:val="22"/>
        </w:rPr>
        <w:t>Full premium loss would remain tolerable.</w:t>
      </w:r>
    </w:p>
    <w:p>
      <w:pPr>
        <w:pStyle w:val="Heading1"/>
      </w:pPr>
      <w:r>
        <w:t>19. Final Standard</w:t>
      </w:r>
    </w:p>
    <w:p>
      <w:r>
        <w:rPr>
          <w:rFonts w:ascii="Calibri" w:hAnsi="Calibri"/>
          <w:b w:val="0"/>
          <w:i w:val="0"/>
          <w:color w:val="17324D"/>
          <w:sz w:val="22"/>
        </w:rPr>
        <w:t>Mastery is not certainty and it is not the absence of unfavorable outcomes. It is the ability to explain why the market environment, stock, entry, contract, and management plan fit together; to wait when they do not; and to review evidence without allowing one result to redefine the process.</w:t>
      </w:r>
    </w:p>
    <w:p>
      <w:r>
        <w:rPr>
          <w:rFonts w:ascii="Calibri" w:hAnsi="Calibri"/>
          <w:b w:val="0"/>
          <w:i w:val="0"/>
          <w:color w:val="17324D"/>
          <w:sz w:val="22"/>
        </w:rPr>
        <w:t>The system exists to make disciplined bullish participation repeatable. The operator's job is to remain patient, precise, and honest about what is known, what is assumed, and what would invalidate the idea.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17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17C"/>
        <w:sz w:val="17"/>
      </w:rPr>
      <w:t>ALI SWING SUITE  |  BULLISH PARTICIPATION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singleLevel"/>
    <w:lvl w:ilvl="0">
      <w:start w:val="1"/>
      <w:numFmt w:val="bullet"/>
      <w:lvlText w:val="•"/>
      <w:suff w:val="tab"/>
      <w:pPr>
        <w:tabs>
          <w:tab w:val="num" w:pos="540"/>
        </w:tabs>
        <w:ind w:left="540" w:hanging="270"/>
      </w:pPr>
    </w:lvl>
  </w:abstractNum>
  <w:num w:numId="10">
    <w:abstractNumId w:val="10"/>
  </w:num>
  <w:abstractNum w:abstractNumId="11">
    <w:multiLevelType w:val="singleLevel"/>
    <w:lvl w:ilvl="0">
      <w:start w:val="1"/>
      <w:numFmt w:val="decimal"/>
      <w:lvlText w:val="%1."/>
      <w:suff w:val="tab"/>
      <w:pPr>
        <w:tabs>
          <w:tab w:val="num" w:pos="540"/>
        </w:tabs>
        <w:ind w:left="540" w:hanging="270"/>
      </w:pPr>
    </w:lvl>
  </w:abstract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F7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F7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 Swing Suite - Bullish Participation v3 Training Manual</dc:title>
  <dc:subject>Options trend-participation operating manual</dc:subject>
  <dc:creator>Ali Swing Suite</dc:creator>
  <cp:keywords>options, calls, pullback, trend, risk, training</cp:keywords>
  <dc:description>generated by python-docx</dc:description>
  <cp:lastModifiedBy/>
  <cp:revision>1</cp:revision>
  <dcterms:created xsi:type="dcterms:W3CDTF">2013-12-23T23:15:00Z</dcterms:created>
  <dcterms:modified xsi:type="dcterms:W3CDTF">2013-12-23T23:15:00Z</dcterms:modified>
  <cp:category/>
</cp:coreProperties>
</file>