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 w:eastAsia="Arial"/>
          <w:b w:val="0"/>
          <w:color w:val="000000"/>
          <w:sz w:val="52"/>
        </w:rPr>
        <w:t>Ali Swing Suite</w:t>
      </w:r>
    </w:p>
    <w:p>
      <w:pPr>
        <w:pStyle w:val="ManualSubtitle"/>
      </w:pPr>
      <w:r>
        <w:rPr>
          <w:rFonts w:ascii="Arial" w:hAnsi="Arial" w:eastAsia="Arial"/>
          <w:color w:val="434343"/>
          <w:sz w:val="32"/>
        </w:rPr>
        <w:t>Bullish Participation v4 Training Manual</w:t>
      </w:r>
    </w:p>
    <w:p>
      <w:pPr/>
      <w:r>
        <w:rPr>
          <w:rFonts w:ascii="Arial" w:hAnsi="Arial" w:eastAsia="Arial"/>
          <w:b/>
          <w:color w:val="000000"/>
          <w:sz w:val="22"/>
        </w:rPr>
        <w:t>Purpose:</w:t>
      </w:r>
      <w:r>
        <w:rPr>
          <w:rFonts w:ascii="Arial" w:hAnsi="Arial" w:eastAsia="Arial"/>
          <w:color w:val="000000"/>
          <w:sz w:val="22"/>
        </w:rPr>
        <w:t xml:space="preserve"> A complete operating guide for the read-only Bullish Participation v4 stock and long-call research system.</w:t>
      </w:r>
    </w:p>
    <w:p>
      <w:pPr/>
      <w:r>
        <w:rPr>
          <w:rFonts w:ascii="Arial" w:hAnsi="Arial" w:eastAsia="Arial"/>
          <w:b/>
          <w:color w:val="000000"/>
          <w:sz w:val="22"/>
        </w:rPr>
        <w:t>Scope:</w:t>
      </w:r>
      <w:r>
        <w:rPr>
          <w:rFonts w:ascii="Arial" w:hAnsi="Arial" w:eastAsia="Arial"/>
          <w:color w:val="000000"/>
          <w:sz w:val="22"/>
        </w:rPr>
        <w:t xml:space="preserve"> U.S. listed stocks and index ETFs, daily setup selection, four-hour timing, and long-call contract research.</w:t>
      </w:r>
    </w:p>
    <w:p>
      <w:pPr/>
      <w:r>
        <w:rPr>
          <w:rFonts w:ascii="Arial" w:hAnsi="Arial" w:eastAsia="Arial"/>
          <w:b/>
          <w:color w:val="000000"/>
          <w:sz w:val="22"/>
        </w:rPr>
        <w:t>Important:</w:t>
      </w:r>
      <w:r>
        <w:rPr>
          <w:rFonts w:ascii="Arial" w:hAnsi="Arial" w:eastAsia="Arial"/>
          <w:color w:val="000000"/>
          <w:sz w:val="22"/>
        </w:rPr>
        <w:t xml:space="preserve"> This system is educational research software. It does not place orders, access brokerage accounts, or guarantee an outcome. A long call can lose the entire premium paid.</w:t>
      </w:r>
    </w:p>
    <w:p>
      <w:pPr>
        <w:pStyle w:val="Heading1"/>
      </w:pPr>
      <w:r>
        <w:rPr>
          <w:rFonts w:ascii="Arial" w:hAnsi="Arial" w:eastAsia="Arial"/>
          <w:color w:val="000000"/>
          <w:sz w:val="40"/>
        </w:rPr>
        <w:t>Contents</w:t>
      </w:r>
    </w:p>
    <w:p>
      <w:pPr>
        <w:spacing w:after="80" w:line="276" w:lineRule="auto"/>
        <w:keepLines/>
        <w:numPr>
          <w:ilvl w:val="0"/>
          <w:numId w:val="12"/>
        </w:numPr>
      </w:pPr>
      <w:hyperlink w:anchor="section_1" w:history="1">
        <w:r>
          <w:rPr>
            <w:rFonts w:ascii="Arial" w:hAnsi="Arial"/>
            <w:color w:val="1155CC"/>
            <w:u w:val="single"/>
          </w:rPr>
          <w:t>The Operating Idea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2" w:history="1">
        <w:r>
          <w:rPr>
            <w:rFonts w:ascii="Arial" w:hAnsi="Arial"/>
            <w:color w:val="1155CC"/>
            <w:u w:val="single"/>
          </w:rPr>
          <w:t>System Architecture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3" w:history="1">
        <w:r>
          <w:rPr>
            <w:rFonts w:ascii="Arial" w:hAnsi="Arial"/>
            <w:color w:val="1155CC"/>
            <w:u w:val="single"/>
          </w:rPr>
          <w:t>Strategy Lanes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4" w:history="1">
        <w:r>
          <w:rPr>
            <w:rFonts w:ascii="Arial" w:hAnsi="Arial"/>
            <w:color w:val="1155CC"/>
            <w:u w:val="single"/>
          </w:rPr>
          <w:t>Review States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5" w:history="1">
        <w:r>
          <w:rPr>
            <w:rFonts w:ascii="Arial" w:hAnsi="Arial"/>
            <w:color w:val="1155CC"/>
            <w:u w:val="single"/>
          </w:rPr>
          <w:t>Market Context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6" w:history="1">
        <w:r>
          <w:rPr>
            <w:rFonts w:ascii="Arial" w:hAnsi="Arial"/>
            <w:color w:val="1155CC"/>
            <w:u w:val="single"/>
          </w:rPr>
          <w:t>Trend Evidence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7" w:history="1">
        <w:r>
          <w:rPr>
            <w:rFonts w:ascii="Arial" w:hAnsi="Arial"/>
            <w:color w:val="1155CC"/>
            <w:u w:val="single"/>
          </w:rPr>
          <w:t>Leadership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8" w:history="1">
        <w:r>
          <w:rPr>
            <w:rFonts w:ascii="Arial" w:hAnsi="Arial"/>
            <w:color w:val="1155CC"/>
            <w:u w:val="single"/>
          </w:rPr>
          <w:t>Pattern Lifecycle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9" w:history="1">
        <w:r>
          <w:rPr>
            <w:rFonts w:ascii="Arial" w:hAnsi="Arial"/>
            <w:color w:val="1155CC"/>
            <w:u w:val="single"/>
          </w:rPr>
          <w:t>Bullish Pattern Library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0" w:history="1">
        <w:r>
          <w:rPr>
            <w:rFonts w:ascii="Arial" w:hAnsi="Arial"/>
            <w:color w:val="1155CC"/>
            <w:u w:val="single"/>
          </w:rPr>
          <w:t>Four-Hour Momentum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1" w:history="1">
        <w:r>
          <w:rPr>
            <w:rFonts w:ascii="Arial" w:hAnsi="Arial"/>
            <w:color w:val="1155CC"/>
            <w:u w:val="single"/>
          </w:rPr>
          <w:t>Contract Selection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2" w:history="1">
        <w:r>
          <w:rPr>
            <w:rFonts w:ascii="Arial" w:hAnsi="Arial"/>
            <w:color w:val="1155CC"/>
            <w:u w:val="single"/>
          </w:rPr>
          <w:t>Event And Data Risk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3" w:history="1">
        <w:r>
          <w:rPr>
            <w:rFonts w:ascii="Arial" w:hAnsi="Arial"/>
            <w:color w:val="1155CC"/>
            <w:u w:val="single"/>
          </w:rPr>
          <w:t>Reading The HTML Dashboard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4" w:history="1">
        <w:r>
          <w:rPr>
            <w:rFonts w:ascii="Arial" w:hAnsi="Arial"/>
            <w:color w:val="1155CC"/>
            <w:u w:val="single"/>
          </w:rPr>
          <w:t>Using The Pine Scripts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5" w:history="1">
        <w:r>
          <w:rPr>
            <w:rFonts w:ascii="Arial" w:hAnsi="Arial"/>
            <w:color w:val="1155CC"/>
            <w:u w:val="single"/>
          </w:rPr>
          <w:t>Daily Operating Workflow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6" w:history="1">
        <w:r>
          <w:rPr>
            <w:rFonts w:ascii="Arial" w:hAnsi="Arial"/>
            <w:color w:val="1155CC"/>
            <w:u w:val="single"/>
          </w:rPr>
          <w:t>Entry And Management Process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7" w:history="1">
        <w:r>
          <w:rPr>
            <w:rFonts w:ascii="Arial" w:hAnsi="Arial"/>
            <w:color w:val="1155CC"/>
            <w:u w:val="single"/>
          </w:rPr>
          <w:t>Research And Optimization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8" w:history="1">
        <w:r>
          <w:rPr>
            <w:rFonts w:ascii="Arial" w:hAnsi="Arial"/>
            <w:color w:val="1155CC"/>
            <w:u w:val="single"/>
          </w:rPr>
          <w:t>Research Journal Template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19" w:history="1">
        <w:r>
          <w:rPr>
            <w:rFonts w:ascii="Arial" w:hAnsi="Arial"/>
            <w:color w:val="1155CC"/>
            <w:u w:val="single"/>
          </w:rPr>
          <w:t>Checklists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20" w:history="1">
        <w:r>
          <w:rPr>
            <w:rFonts w:ascii="Arial" w:hAnsi="Arial"/>
            <w:color w:val="1155CC"/>
            <w:u w:val="single"/>
          </w:rPr>
          <w:t>Common Errors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21" w:history="1">
        <w:r>
          <w:rPr>
            <w:rFonts w:ascii="Arial" w:hAnsi="Arial"/>
            <w:color w:val="1155CC"/>
            <w:u w:val="single"/>
          </w:rPr>
          <w:t>Glossary</w:t>
        </w:r>
      </w:hyperlink>
    </w:p>
    <w:p>
      <w:pPr>
        <w:spacing w:after="80" w:line="276" w:lineRule="auto"/>
        <w:keepLines/>
        <w:numPr>
          <w:ilvl w:val="0"/>
          <w:numId w:val="12"/>
        </w:numPr>
      </w:pPr>
      <w:hyperlink w:anchor="section_22" w:history="1">
        <w:r>
          <w:rPr>
            <w:rFonts w:ascii="Arial" w:hAnsi="Arial"/>
            <w:color w:val="1155CC"/>
            <w:u w:val="single"/>
          </w:rPr>
          <w:t>Authoritative Sources</w:t>
        </w:r>
      </w:hyperlink>
    </w:p>
    <w:p>
      <w:pPr>
        <w:spacing w:after="0"/>
      </w:pPr>
      <w:r>
        <w:br w:type="page"/>
      </w:r>
    </w:p>
    <w:p>
      <w:bookmarkStart w:id="1" w:name="section_1"/>
      <w:pPr>
        <w:pStyle w:val="Heading1"/>
      </w:pPr>
      <w:r>
        <w:rPr>
          <w:rFonts w:ascii="Arial" w:hAnsi="Arial" w:eastAsia="Arial"/>
          <w:color w:val="000000"/>
          <w:sz w:val="40"/>
        </w:rPr>
        <w:t>1. The Operating Idea</w:t>
      </w:r>
      <w:bookmarkEnd w:id="1"/>
    </w:p>
    <w:p>
      <w:pPr/>
      <w:r>
        <w:rPr>
          <w:rFonts w:ascii="Arial" w:hAnsi="Arial" w:eastAsia="Arial"/>
          <w:color w:val="000000"/>
          <w:sz w:val="22"/>
        </w:rPr>
        <w:t>Bullish Participation v4 looks for a specific combination:</w:t>
      </w:r>
    </w:p>
    <w:p>
      <w:pPr>
        <w:keepLines/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 supportive or at least non-hostile market</w:t>
      </w:r>
    </w:p>
    <w:p>
      <w:pPr>
        <w:keepLines/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 stock or index in a healthy long-term uptrend</w:t>
      </w:r>
    </w:p>
    <w:p>
      <w:pPr>
        <w:keepLines/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leadership or index strength appropriate to its lane</w:t>
      </w:r>
    </w:p>
    <w:p>
      <w:pPr>
        <w:keepLines/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recognizable bullish geometry with a clear trigger and invalidation</w:t>
      </w:r>
    </w:p>
    <w:p>
      <w:pPr>
        <w:keepLines/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four-hour momentum that agrees with the daily thesis</w:t>
      </w:r>
    </w:p>
    <w:p>
      <w:pPr>
        <w:keepLines/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unresolved earnings-event conflict</w:t>
      </w:r>
    </w:p>
    <w:p>
      <w:pPr>
        <w:keepLines/>
        <w:numPr>
          <w:ilvl w:val="0"/>
          <w:numId w:val="13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 liquid call contract that fits the lane</w:t>
      </w:r>
    </w:p>
    <w:p>
      <w:pPr/>
      <w:r>
        <w:rPr>
          <w:rFonts w:ascii="Arial" w:hAnsi="Arial" w:eastAsia="Arial"/>
          <w:color w:val="000000"/>
          <w:sz w:val="22"/>
        </w:rPr>
        <w:t>The system does not reward activity. No setup is a valid result. Cash is a valid state.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1.1 Why The Underlying Comes First</w:t>
      </w:r>
    </w:p>
    <w:p>
      <w:pPr/>
      <w:r>
        <w:rPr>
          <w:rFonts w:ascii="Arial" w:hAnsi="Arial" w:eastAsia="Arial"/>
          <w:color w:val="000000"/>
          <w:sz w:val="22"/>
        </w:rPr>
        <w:t>A call option is a derivative of the underlying security. The thesis is therefore defined on the stock or ETF chart: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setup is selected on the daily chart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entry trigger is an underlying price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invalidation is an underlying price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objective is an underlying planning level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option contract is the participation vehicle</w:t>
      </w:r>
    </w:p>
    <w:p>
      <w:pPr/>
      <w:r>
        <w:rPr>
          <w:rFonts w:ascii="Arial" w:hAnsi="Arial" w:eastAsia="Arial"/>
          <w:color w:val="000000"/>
          <w:sz w:val="22"/>
        </w:rPr>
        <w:t>Premium movement can be distorted by spread, implied volatility, time decay, and quote quality. The underlying chart remains the primary thesis surface.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1.2 What A Score Means</w:t>
      </w:r>
    </w:p>
    <w:p>
      <w:pPr/>
      <w:r>
        <w:rPr>
          <w:rFonts w:ascii="Arial" w:hAnsi="Arial" w:eastAsia="Arial"/>
          <w:color w:val="000000"/>
          <w:sz w:val="22"/>
        </w:rPr>
        <w:t>A score is a structured evidence rank. It answers questions such as: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Does the trend meet the configured conditions?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Is the stock leading its peer?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Is the pattern geometry clean?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Is momentum aligned?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Is the market supportive?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Is the contract liquid and fresh?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Is the risk geometry acceptable?</w:t>
      </w:r>
    </w:p>
    <w:p>
      <w:pPr/>
      <w:r>
        <w:rPr>
          <w:rFonts w:ascii="Arial" w:hAnsi="Arial" w:eastAsia="Arial"/>
          <w:color w:val="000000"/>
          <w:sz w:val="22"/>
        </w:rPr>
        <w:t xml:space="preserve">A score does </w:t>
      </w:r>
      <w:r>
        <w:rPr>
          <w:rFonts w:ascii="Arial" w:hAnsi="Arial" w:eastAsia="Arial"/>
          <w:b/>
          <w:color w:val="000000"/>
          <w:sz w:val="22"/>
        </w:rPr>
        <w:t>not</w:t>
      </w:r>
      <w:r>
        <w:rPr>
          <w:rFonts w:ascii="Arial" w:hAnsi="Arial" w:eastAsia="Arial"/>
          <w:color w:val="000000"/>
          <w:sz w:val="22"/>
        </w:rPr>
        <w:t xml:space="preserve"> mean: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probability of profit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expected return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certainty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permission to place an order</w:t>
      </w:r>
    </w:p>
    <w:p>
      <w:bookmarkStart w:id="2" w:name="section_2"/>
      <w:pPr>
        <w:pStyle w:val="Heading1"/>
      </w:pPr>
      <w:r>
        <w:rPr>
          <w:rFonts w:ascii="Arial" w:hAnsi="Arial" w:eastAsia="Arial"/>
          <w:color w:val="000000"/>
          <w:sz w:val="40"/>
        </w:rPr>
        <w:t>2. System Architecture</w:t>
      </w:r>
      <w:bookmarkEnd w:id="2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2.1 Daily Chart Ownership</w:t>
      </w:r>
    </w:p>
    <w:p>
      <w:pPr/>
      <w:r>
        <w:rPr>
          <w:rFonts w:ascii="Arial" w:hAnsi="Arial" w:eastAsia="Arial"/>
          <w:color w:val="000000"/>
          <w:sz w:val="22"/>
        </w:rPr>
        <w:t>The daily chart owns: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trend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structure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leadership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 selection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trigger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support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invalidation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resistance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planning objective</w:t>
      </w:r>
    </w:p>
    <w:p>
      <w:pPr/>
      <w:r>
        <w:rPr>
          <w:rFonts w:ascii="Arial" w:hAnsi="Arial" w:eastAsia="Arial"/>
          <w:color w:val="000000"/>
          <w:sz w:val="22"/>
        </w:rPr>
        <w:t>Only a completed daily candle can change daily qualification.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2.2 Four-Hour Chart Ownership</w:t>
      </w:r>
    </w:p>
    <w:p>
      <w:pPr/>
      <w:r>
        <w:rPr>
          <w:rFonts w:ascii="Arial" w:hAnsi="Arial" w:eastAsia="Arial"/>
          <w:color w:val="000000"/>
          <w:sz w:val="22"/>
        </w:rPr>
        <w:t>The four-hour chart owns: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RSI and MACD timing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momentum confirmation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reaction trigger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short-term support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momentum warning level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divergence warnings</w:t>
      </w:r>
    </w:p>
    <w:p>
      <w:pPr/>
      <w:r>
        <w:rPr>
          <w:rFonts w:ascii="Arial" w:hAnsi="Arial" w:eastAsia="Arial"/>
          <w:color w:val="000000"/>
          <w:sz w:val="22"/>
        </w:rPr>
        <w:t>The four-hour chart cannot rescue a weak daily chart. It only times a daily thesis that already has sufficient evidence.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2.3 Contract Ownership</w:t>
      </w:r>
    </w:p>
    <w:p>
      <w:pPr/>
      <w:r>
        <w:rPr>
          <w:rFonts w:ascii="Arial" w:hAnsi="Arial" w:eastAsia="Arial"/>
          <w:color w:val="000000"/>
          <w:sz w:val="22"/>
        </w:rPr>
        <w:t>The option chain owns: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expiration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strike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delta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bid and ask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open interest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implied volatility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Greeks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quote timestamp</w:t>
      </w:r>
    </w:p>
    <w:p>
      <w:pPr/>
      <w:r>
        <w:rPr>
          <w:rFonts w:ascii="Arial" w:hAnsi="Arial" w:eastAsia="Arial"/>
          <w:color w:val="000000"/>
          <w:sz w:val="22"/>
        </w:rPr>
        <w:t>The Pine scripts cannot validate a live contract. The Python screener can rank the chain it receives, but the live broker chain remains authoritative.</w:t>
      </w:r>
    </w:p>
    <w:p>
      <w:bookmarkStart w:id="3" w:name="section_3"/>
      <w:pPr>
        <w:pStyle w:val="Heading1"/>
      </w:pPr>
      <w:r>
        <w:rPr>
          <w:rFonts w:ascii="Arial" w:hAnsi="Arial" w:eastAsia="Arial"/>
          <w:color w:val="000000"/>
          <w:sz w:val="40"/>
        </w:rPr>
        <w:t>3. Strategy Lanes</w:t>
      </w:r>
      <w:bookmarkEnd w:id="3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3.1 Index Core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000"/>
        <w:tblInd w:w="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ADCE0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00000"/>
                <w:sz w:val="21"/>
              </w:rPr>
            </w:r>
            <w:r>
              <w:rPr>
                <w:rFonts w:ascii="Arial" w:hAnsi="Arial" w:eastAsia="Arial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ADCE0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00000"/>
                <w:sz w:val="21"/>
              </w:rPr>
            </w:r>
            <w:r>
              <w:rPr>
                <w:rFonts w:ascii="Arial" w:hAnsi="Arial" w:eastAsia="Arial"/>
                <w:b/>
                <w:color w:val="000000"/>
                <w:sz w:val="21"/>
              </w:rPr>
              <w:t>Rule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Symbols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SPY and QQQ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Preferred DTE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45-90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Hard DTE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30-120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Preferred delta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0.60-0.75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Hard delta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0.50-0.85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Intended thesis window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10-30 sessions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Requalification boundary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30 DTE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Maximum spread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5%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Minimum open interest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1,000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Minimum daily volume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500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Arial" w:hAnsi="Arial" w:eastAsia="Arial"/>
          <w:color w:val="000000"/>
          <w:sz w:val="22"/>
        </w:rPr>
        <w:t>Index Core uses more time and higher delta because the intended move is typically slower and the underlying is diversified. A higher-delta contract usually tracks the underlying more directly, but it also costs more premium.</w:t>
      </w:r>
    </w:p>
    <w:p>
      <w:pPr/>
      <w:r>
        <w:rPr>
          <w:rFonts w:ascii="Arial" w:hAnsi="Arial" w:eastAsia="Arial"/>
          <w:color w:val="000000"/>
          <w:sz w:val="22"/>
        </w:rPr>
        <w:t>Index Core does not receive a synthetic leadership score. The index itself is the market vehicle.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3.2 Leader Swing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000"/>
        <w:tblInd w:w="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ADCE0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00000"/>
                <w:sz w:val="21"/>
              </w:rPr>
            </w:r>
            <w:r>
              <w:rPr>
                <w:rFonts w:ascii="Arial" w:hAnsi="Arial" w:eastAsia="Arial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ADCE0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00000"/>
                <w:sz w:val="21"/>
              </w:rPr>
            </w:r>
            <w:r>
              <w:rPr>
                <w:rFonts w:ascii="Arial" w:hAnsi="Arial" w:eastAsia="Arial"/>
                <w:b/>
                <w:color w:val="000000"/>
                <w:sz w:val="21"/>
              </w:rPr>
              <w:t>Rule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Symbols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Curated liquid sector leaders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Preferred DTE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30-60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Hard DTE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21-75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Preferred delta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0.45-0.65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Hard delta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0.35-0.75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Intended thesis window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5-15 sessions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Requalification boundary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21 DTE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Maximum spread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8%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Minimum open interest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500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Minimum daily volume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100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Arial" w:hAnsi="Arial" w:eastAsia="Arial"/>
          <w:color w:val="000000"/>
          <w:sz w:val="22"/>
        </w:rPr>
        <w:t>Leader Swing requires stock-versus-sector and sector-versus-market evidence. The contract has less time than Index Core because the setup is expected to resolve more quickly, but it still avoids very short-dated exposure.</w:t>
      </w:r>
    </w:p>
    <w:p>
      <w:bookmarkStart w:id="4" w:name="section_4"/>
      <w:pPr>
        <w:pStyle w:val="Heading1"/>
      </w:pPr>
      <w:r>
        <w:rPr>
          <w:rFonts w:ascii="Arial" w:hAnsi="Arial" w:eastAsia="Arial"/>
          <w:color w:val="000000"/>
          <w:sz w:val="40"/>
        </w:rPr>
        <w:t>4. Review States</w:t>
      </w:r>
      <w:bookmarkEnd w:id="4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Ready</w:t>
      </w:r>
    </w:p>
    <w:p>
      <w:pPr/>
      <w:r>
        <w:rPr>
          <w:rFonts w:ascii="Arial" w:hAnsi="Arial" w:eastAsia="Arial"/>
          <w:color w:val="000000"/>
          <w:sz w:val="22"/>
        </w:rPr>
        <w:t>All required chart, market, event, risk, and trustworthy live contract evidence passes.</w:t>
      </w:r>
    </w:p>
    <w:p>
      <w:pPr/>
      <w:r>
        <w:rPr>
          <w:rFonts w:ascii="Arial" w:hAnsi="Arial" w:eastAsia="Arial"/>
          <w:color w:val="000000"/>
          <w:sz w:val="22"/>
        </w:rPr>
        <w:t>Manual review is still required. Ready is not an order signal.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Ready - Verify</w:t>
      </w:r>
    </w:p>
    <w:p>
      <w:pPr/>
      <w:r>
        <w:rPr>
          <w:rFonts w:ascii="Arial" w:hAnsi="Arial" w:eastAsia="Arial"/>
          <w:color w:val="000000"/>
          <w:sz w:val="22"/>
        </w:rPr>
        <w:t>Chart evidence passes, but at least one item requires confirmation, usually: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 score below the full-ready threshold but above the verification threshold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calendar unknown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another evidence item that remains acceptable only after review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Verify Contract</w:t>
      </w:r>
    </w:p>
    <w:p>
      <w:pPr/>
      <w:r>
        <w:rPr>
          <w:rFonts w:ascii="Arial" w:hAnsi="Arial" w:eastAsia="Arial"/>
          <w:color w:val="000000"/>
          <w:sz w:val="22"/>
        </w:rPr>
        <w:t>The chart setup passes, but the option feed is indicative or otherwise not authoritative enough for a contract decision.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Developing</w:t>
      </w:r>
    </w:p>
    <w:p>
      <w:pPr/>
      <w:r>
        <w:rPr>
          <w:rFonts w:ascii="Arial" w:hAnsi="Arial" w:eastAsia="Arial"/>
          <w:color w:val="000000"/>
          <w:sz w:val="22"/>
        </w:rPr>
        <w:t>Bullish geometry exists, but one or more chart requirements are incomplete: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trend score below ready threshold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setup still forming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momentum not confirmed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 below ready threshold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leadership incomplete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Rejected</w:t>
      </w:r>
    </w:p>
    <w:p>
      <w:pPr/>
      <w:r>
        <w:rPr>
          <w:rFonts w:ascii="Arial" w:hAnsi="Arial" w:eastAsia="Arial"/>
          <w:color w:val="000000"/>
          <w:sz w:val="22"/>
        </w:rPr>
        <w:t>A hard protection failed or the structure does not qualify. Common reasons: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below SMA200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excessive extension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hostile market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earnings inside blackout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failed or stale pattern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eligible call contract</w:t>
      </w:r>
    </w:p>
    <w:p>
      <w:bookmarkStart w:id="5" w:name="section_5"/>
      <w:pPr>
        <w:pStyle w:val="Heading1"/>
      </w:pPr>
      <w:r>
        <w:rPr>
          <w:rFonts w:ascii="Arial" w:hAnsi="Arial" w:eastAsia="Arial"/>
          <w:color w:val="000000"/>
          <w:sz w:val="40"/>
        </w:rPr>
        <w:t>5. Market Context</w:t>
      </w:r>
      <w:bookmarkEnd w:id="5"/>
    </w:p>
    <w:p>
      <w:pPr/>
      <w:r>
        <w:rPr>
          <w:rFonts w:ascii="Arial" w:hAnsi="Arial" w:eastAsia="Arial"/>
          <w:color w:val="000000"/>
          <w:sz w:val="22"/>
        </w:rPr>
        <w:t>The market score combines: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SPY daily trend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QQQ daily trend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SPY and QQQ weekly alignment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percentage of leaders above SMA50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percentage of leaders above EMA21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Supportive</w:t>
      </w:r>
    </w:p>
    <w:p>
      <w:pPr/>
      <w:r>
        <w:rPr>
          <w:rFonts w:ascii="Arial" w:hAnsi="Arial" w:eastAsia="Arial"/>
          <w:color w:val="000000"/>
          <w:sz w:val="22"/>
        </w:rPr>
        <w:t>The broad environment is aligned with bullish participation. This does not remove single-stock risk.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Mixed</w:t>
      </w:r>
    </w:p>
    <w:p>
      <w:pPr/>
      <w:r>
        <w:rPr>
          <w:rFonts w:ascii="Arial" w:hAnsi="Arial" w:eastAsia="Arial"/>
          <w:color w:val="000000"/>
          <w:sz w:val="22"/>
        </w:rPr>
        <w:t>Some evidence is constructive and some is weak. Developing setups may remain useful, but the system does not treat the environment as fully supportive.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Hostile</w:t>
      </w:r>
    </w:p>
    <w:p>
      <w:pPr/>
      <w:r>
        <w:rPr>
          <w:rFonts w:ascii="Arial" w:hAnsi="Arial" w:eastAsia="Arial"/>
          <w:color w:val="000000"/>
          <w:sz w:val="22"/>
        </w:rPr>
        <w:t>Broad trend and participation are too weak. New bullish candidates are rejected.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Practical Reading</w:t>
      </w:r>
    </w:p>
    <w:p>
      <w:pPr/>
      <w:r>
        <w:rPr>
          <w:rFonts w:ascii="Arial" w:hAnsi="Arial" w:eastAsia="Arial"/>
          <w:color w:val="000000"/>
          <w:sz w:val="22"/>
        </w:rPr>
        <w:t>Breadth matters because an index can remain elevated while fewer stocks participate. Strong breadth supports follow-through. Weak breadth increases the chance that a single-stock breakout fails even when the headline index looks acceptable.</w:t>
      </w:r>
    </w:p>
    <w:p>
      <w:bookmarkStart w:id="6" w:name="section_6"/>
      <w:pPr>
        <w:pStyle w:val="Heading1"/>
      </w:pPr>
      <w:r>
        <w:rPr>
          <w:rFonts w:ascii="Arial" w:hAnsi="Arial" w:eastAsia="Arial"/>
          <w:color w:val="000000"/>
          <w:sz w:val="40"/>
        </w:rPr>
        <w:t>6. Trend Evidence</w:t>
      </w:r>
      <w:bookmarkEnd w:id="6"/>
    </w:p>
    <w:p>
      <w:pPr/>
      <w:r>
        <w:rPr>
          <w:rFonts w:ascii="Arial" w:hAnsi="Arial" w:eastAsia="Arial"/>
          <w:color w:val="000000"/>
          <w:sz w:val="22"/>
        </w:rPr>
        <w:t>The trend score uses: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above EMA21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EMA21 above SMA50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above SMA50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SMA50 above SMA200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above SMA200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rising SMA200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weekly close above weekly EMA21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Hard Trend Protections</w:t>
      </w:r>
    </w:p>
    <w:p>
      <w:pPr/>
      <w:r>
        <w:rPr>
          <w:rFonts w:ascii="Arial" w:hAnsi="Arial" w:eastAsia="Arial"/>
          <w:b/>
          <w:color w:val="000000"/>
          <w:sz w:val="22"/>
        </w:rPr>
        <w:t>Below SMA200:</w:t>
      </w:r>
      <w:r>
        <w:rPr>
          <w:rFonts w:ascii="Arial" w:hAnsi="Arial" w:eastAsia="Arial"/>
          <w:color w:val="000000"/>
          <w:sz w:val="22"/>
        </w:rPr>
        <w:t xml:space="preserve"> The candidate is rejected. The system is built for bullish participation in established long-term trends.</w:t>
      </w:r>
    </w:p>
    <w:p>
      <w:pPr/>
      <w:r>
        <w:rPr>
          <w:rFonts w:ascii="Arial" w:hAnsi="Arial" w:eastAsia="Arial"/>
          <w:b/>
          <w:color w:val="000000"/>
          <w:sz w:val="22"/>
        </w:rPr>
        <w:t>Excessively extended:</w:t>
      </w:r>
      <w:r>
        <w:rPr>
          <w:rFonts w:ascii="Arial" w:hAnsi="Arial" w:eastAsia="Arial"/>
          <w:color w:val="000000"/>
          <w:sz w:val="22"/>
        </w:rPr>
        <w:t xml:space="preserve"> The candidate is rejected when price is too far above the EMA21 in ATR terms. Extension creates poor invalidation geometry and can coincide with expensive implied volatility.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Structure</w:t>
      </w:r>
    </w:p>
    <w:p>
      <w:pPr/>
      <w:r>
        <w:rPr>
          <w:rFonts w:ascii="Arial" w:hAnsi="Arial" w:eastAsia="Arial"/>
          <w:color w:val="000000"/>
          <w:sz w:val="22"/>
        </w:rPr>
        <w:t>Confirmed pivots classify structure as: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bullish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improving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mixed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weak</w:t>
      </w:r>
    </w:p>
    <w:p>
      <w:pPr/>
      <w:r>
        <w:rPr>
          <w:rFonts w:ascii="Arial" w:hAnsi="Arial" w:eastAsia="Arial"/>
          <w:color w:val="000000"/>
          <w:sz w:val="22"/>
        </w:rPr>
        <w:t>Pivots require bars on both sides. This confirmation delay is intentional because it prevents future-looking structure.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Anchored Volume-Weighted Support</w:t>
      </w:r>
    </w:p>
    <w:p>
      <w:pPr/>
      <w:r>
        <w:rPr>
          <w:rFonts w:ascii="Arial" w:hAnsi="Arial" w:eastAsia="Arial"/>
          <w:color w:val="000000"/>
          <w:sz w:val="22"/>
        </w:rPr>
        <w:t>The system uses a recent rolling volume-weighted price reference alongside EMA21, SMA50, and confirmed pivots. It is a support input, not an infallible line.</w:t>
      </w:r>
    </w:p>
    <w:p>
      <w:bookmarkStart w:id="7" w:name="section_7"/>
      <w:pPr>
        <w:pStyle w:val="Heading1"/>
      </w:pPr>
      <w:r>
        <w:rPr>
          <w:rFonts w:ascii="Arial" w:hAnsi="Arial" w:eastAsia="Arial"/>
          <w:color w:val="000000"/>
          <w:sz w:val="40"/>
        </w:rPr>
        <w:t>7. Leadership</w:t>
      </w:r>
      <w:bookmarkEnd w:id="7"/>
    </w:p>
    <w:p>
      <w:pPr/>
      <w:r>
        <w:rPr>
          <w:rFonts w:ascii="Arial" w:hAnsi="Arial" w:eastAsia="Arial"/>
          <w:color w:val="000000"/>
          <w:sz w:val="22"/>
        </w:rPr>
        <w:t>Leader Swing compares:</w:t>
      </w:r>
    </w:p>
    <w:p>
      <w:pPr>
        <w:keepLines/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stock against its sector or industry benchmark</w:t>
      </w:r>
    </w:p>
    <w:p>
      <w:pPr>
        <w:keepLines/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peer benchmark against SPY</w:t>
      </w:r>
    </w:p>
    <w:p>
      <w:pPr>
        <w:keepLines/>
        <w:numPr>
          <w:ilvl w:val="0"/>
          <w:numId w:val="14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the stock's medium-term return against the peer</w:t>
      </w:r>
    </w:p>
    <w:p>
      <w:pPr/>
      <w:r>
        <w:rPr>
          <w:rFonts w:ascii="Arial" w:hAnsi="Arial" w:eastAsia="Arial"/>
          <w:color w:val="000000"/>
          <w:sz w:val="22"/>
        </w:rPr>
        <w:t>A stock can rise while still lagging its sector. Leadership evidence asks whether capital is favoring the stock rather than merely lifting the entire group.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Strong Leadership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stock/peer ratio above its EMA21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stock/peer ratio rising over five sessions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peer/SPY ratio constructive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stock outperforming peer over the medium-term window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Weak Leadership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stock/peer ratio below trend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relative line falling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sector lagging the market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stock return behind peer return</w:t>
      </w:r>
    </w:p>
    <w:p>
      <w:pPr/>
      <w:r>
        <w:rPr>
          <w:rFonts w:ascii="Arial" w:hAnsi="Arial" w:eastAsia="Arial"/>
          <w:color w:val="000000"/>
          <w:sz w:val="22"/>
        </w:rPr>
        <w:t>Leadership is evidence, not a guarantee. It improves prioritization.</w:t>
      </w:r>
    </w:p>
    <w:p>
      <w:bookmarkStart w:id="8" w:name="section_8"/>
      <w:pPr>
        <w:pStyle w:val="Heading1"/>
      </w:pPr>
      <w:r>
        <w:rPr>
          <w:rFonts w:ascii="Arial" w:hAnsi="Arial" w:eastAsia="Arial"/>
          <w:color w:val="000000"/>
          <w:sz w:val="40"/>
        </w:rPr>
        <w:t>8. Pattern Lifecycle</w:t>
      </w:r>
      <w:bookmarkEnd w:id="8"/>
    </w:p>
    <w:p>
      <w:pPr/>
      <w:r>
        <w:rPr>
          <w:rFonts w:ascii="Arial" w:hAnsi="Arial" w:eastAsia="Arial"/>
          <w:color w:val="000000"/>
          <w:sz w:val="22"/>
        </w:rPr>
        <w:t>Every enabled pattern uses the same lifecycle.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Forming</w:t>
      </w:r>
    </w:p>
    <w:p>
      <w:pPr/>
      <w:r>
        <w:rPr>
          <w:rFonts w:ascii="Arial" w:hAnsi="Arial" w:eastAsia="Arial"/>
          <w:color w:val="000000"/>
          <w:sz w:val="22"/>
        </w:rPr>
        <w:t>Geometry exists but price is not near enough to the trigger.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Ready</w:t>
      </w:r>
    </w:p>
    <w:p>
      <w:pPr/>
      <w:r>
        <w:rPr>
          <w:rFonts w:ascii="Arial" w:hAnsi="Arial" w:eastAsia="Arial"/>
          <w:color w:val="000000"/>
          <w:sz w:val="22"/>
        </w:rPr>
        <w:t>Price is within the configured ATR distance of the trigger and remains above invalidation.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Confirmed</w:t>
      </w:r>
    </w:p>
    <w:p>
      <w:pPr/>
      <w:r>
        <w:rPr>
          <w:rFonts w:ascii="Arial" w:hAnsi="Arial" w:eastAsia="Arial"/>
          <w:color w:val="000000"/>
          <w:sz w:val="22"/>
        </w:rPr>
        <w:t>Price has closed through the trigger recently and is not excessively extended.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Failed</w:t>
      </w:r>
    </w:p>
    <w:p>
      <w:pPr/>
      <w:r>
        <w:rPr>
          <w:rFonts w:ascii="Arial" w:hAnsi="Arial" w:eastAsia="Arial"/>
          <w:color w:val="000000"/>
          <w:sz w:val="22"/>
        </w:rPr>
        <w:t>Price closed below the underlying invalidation.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Stale</w:t>
      </w:r>
    </w:p>
    <w:p>
      <w:pPr/>
      <w:r>
        <w:rPr>
          <w:rFonts w:ascii="Arial" w:hAnsi="Arial" w:eastAsia="Arial"/>
          <w:color w:val="000000"/>
          <w:sz w:val="22"/>
        </w:rPr>
        <w:t>The trigger was confirmed too long ago or price moved too far beyond it. The system does not chase.</w:t>
      </w:r>
    </w:p>
    <w:p>
      <w:bookmarkStart w:id="9" w:name="section_9"/>
      <w:pPr>
        <w:pStyle w:val="Heading1"/>
      </w:pPr>
      <w:r>
        <w:rPr>
          <w:rFonts w:ascii="Arial" w:hAnsi="Arial" w:eastAsia="Arial"/>
          <w:color w:val="000000"/>
          <w:sz w:val="40"/>
        </w:rPr>
        <w:t>9. Bullish Pattern Library</w:t>
      </w:r>
      <w:bookmarkEnd w:id="9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9.1 Controlled Pullback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An established uptrend pulls back toward EMA21, volume-weighted support, or a confirmed pivot and then holds.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healthy trend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pullback reaches support without breaking it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closing recovery or constructive candle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manageable distance from trigger to invalidation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room to resistance or a planning objective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High of the recent recovery candles.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Below the support zone with an ATR buffer.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Close below invalidation.</w:t>
      </w:r>
    </w:p>
    <w:p>
      <w:pPr/>
      <w:r>
        <w:rPr>
          <w:rFonts w:ascii="Arial" w:hAnsi="Arial" w:eastAsia="Arial"/>
          <w:b/>
          <w:color w:val="000000"/>
          <w:sz w:val="22"/>
        </w:rPr>
        <w:t>Option implication:</w:t>
      </w:r>
      <w:r>
        <w:rPr>
          <w:rFonts w:ascii="Arial" w:hAnsi="Arial" w:eastAsia="Arial"/>
          <w:color w:val="000000"/>
          <w:sz w:val="22"/>
        </w:rPr>
        <w:t xml:space="preserve"> Often preferred because the move has not already expanded and implied volatility may be less inflated than after a breakout.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9.2 Confirmed Breakout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Price closes above established resistance with supportive volume.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trend aligned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resistance defined from completed bars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closing break, not an intraday wick alone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 expansion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not excessively extended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Resistance level.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EMA21 or a buffered level below resistance.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Close back through invalidation or immediate loss of structure.</w:t>
      </w:r>
    </w:p>
    <w:p>
      <w:pPr/>
      <w:r>
        <w:rPr>
          <w:rFonts w:ascii="Arial" w:hAnsi="Arial" w:eastAsia="Arial"/>
          <w:b/>
          <w:color w:val="000000"/>
          <w:sz w:val="22"/>
        </w:rPr>
        <w:t>Option implication:</w:t>
      </w:r>
      <w:r>
        <w:rPr>
          <w:rFonts w:ascii="Arial" w:hAnsi="Arial" w:eastAsia="Arial"/>
          <w:color w:val="000000"/>
          <w:sz w:val="22"/>
        </w:rPr>
        <w:t xml:space="preserve"> Confirmed momentum can be strong, but spread and implied volatility require extra attention.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9.3 Bull Flag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A strong impulse is followed by a controlled, lower-volume retracement.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impulse of meaningful ATR size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retracement generally limited to half the impulse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declining or sideways flag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lower flag volume than pole volume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trend remains intact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Highest price in the flag.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Lowest price in the flag.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Deep retracement or loss of flag low.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9.4 Flat Base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Price consolidates tightly near highs while volume contracts.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shallow multiweek depth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limited volatility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holds above major averages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declining volume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near the upper boundary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Upper boundary of the base.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Base low.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Expansion below the base.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9.5 Ascending Triangle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Repeated resistance is met by rising confirmed lows.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flat resistance band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at least two rising pivot lows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narrowing distance between support and resistance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near the top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Resistance band.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Latest rising pivot low.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Loss of the rising-low sequence.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9.6 Volatility Contraction / Tight Base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Price ranges contract in stages while volume declines near the upper part of the larger range.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three progressively smaller ranges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late range materially tighter than early range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volume contraction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remains near highs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High of the final contraction.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Low of the final contraction.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Range expansion below the final contraction.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9.7 Cup With Handle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A rounded base returns to the prior rim and forms a shallow handle.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rim prices reasonably matched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cup depth neither trivial nor structurally destructive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handle remains in the upper half of the cup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handle depth remains shallow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handle volume contracts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Right rim.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Handle low.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Handle breaks deeply into the cup.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9.8 Breakout Retest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Price breaks resistance on volume, returns to test it, and closes back above the old resistance.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prior closing breakout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supportive breakout volume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retest within a limited number of bars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resistance converts to support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close remains above the retest level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Reclaimed former resistance.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Retest low.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Close below the retest low.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9.9 Double Bottom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Two confirmed lows form near the same price with a recovery through the intervening neckline.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lows separated by enough bars to be distinct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lows within a volatility-adjusted tolerance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meaningful depth to the neckline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second low does not show materially worse structure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recovers toward the neckline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Neckline.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Below the lower bottom with an ATR buffer.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Decisive break below the bottoms.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9.10 Inverse Head And Shoulders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A lower head forms between two higher shoulders, followed by a recovery toward the neckline.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three confirmed pivot lows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head below both shoulders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shoulders reasonably matched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neckline not excessively uneven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returns toward the neckline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Neckline.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Below the head with an ATR buffer.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Loss of the head low.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9.11 Falling Wedge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Price declines inside converging boundaries and recovers toward the upper boundary.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both boundaries slope down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upper boundary falls faster than lower boundary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range width contracts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returns toward the upper boundary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larger trend remains acceptable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Upper wedge boundary.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Recent wedge low.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New low with renewed range expansion.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9.12 Rounding Base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Idea:</w:t>
      </w:r>
      <w:r>
        <w:rPr>
          <w:rFonts w:ascii="Arial" w:hAnsi="Arial" w:eastAsia="Arial"/>
          <w:color w:val="000000"/>
          <w:sz w:val="22"/>
        </w:rPr>
        <w:t xml:space="preserve"> A gradual decline transitions into a gradual recovery with similar left and right rim prices.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Valid geometry: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multiweek curvature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moderate depth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left side declining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right side rising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rim prices reasonably matched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near the right rim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Trigger:</w:t>
      </w:r>
      <w:r>
        <w:rPr>
          <w:rFonts w:ascii="Arial" w:hAnsi="Arial" w:eastAsia="Arial"/>
          <w:color w:val="000000"/>
          <w:sz w:val="22"/>
        </w:rPr>
        <w:t xml:space="preserve"> Right rim.</w:t>
      </w:r>
    </w:p>
    <w:p>
      <w:pPr>
        <w:keepNext/>
        <w:keepLines/>
      </w:pPr>
      <w:r>
        <w:rPr>
          <w:rFonts w:ascii="Arial" w:hAnsi="Arial" w:eastAsia="Arial"/>
          <w:b/>
          <w:color w:val="000000"/>
          <w:sz w:val="22"/>
        </w:rPr>
        <w:t>Invalidation:</w:t>
      </w:r>
      <w:r>
        <w:rPr>
          <w:rFonts w:ascii="Arial" w:hAnsi="Arial" w:eastAsia="Arial"/>
          <w:color w:val="000000"/>
          <w:sz w:val="22"/>
        </w:rPr>
        <w:t xml:space="preserve"> Base low.</w:t>
      </w:r>
    </w:p>
    <w:p>
      <w:pPr/>
      <w:r>
        <w:rPr>
          <w:rFonts w:ascii="Arial" w:hAnsi="Arial" w:eastAsia="Arial"/>
          <w:b/>
          <w:color w:val="000000"/>
          <w:sz w:val="22"/>
        </w:rPr>
        <w:t>Failure:</w:t>
      </w:r>
      <w:r>
        <w:rPr>
          <w:rFonts w:ascii="Arial" w:hAnsi="Arial" w:eastAsia="Arial"/>
          <w:color w:val="000000"/>
          <w:sz w:val="22"/>
        </w:rPr>
        <w:t xml:space="preserve"> Recovery rolls over and loses the right-side structure.</w:t>
      </w:r>
    </w:p>
    <w:p>
      <w:bookmarkStart w:id="10" w:name="section_10"/>
      <w:pPr>
        <w:pStyle w:val="Heading1"/>
      </w:pPr>
      <w:r>
        <w:rPr>
          <w:rFonts w:ascii="Arial" w:hAnsi="Arial" w:eastAsia="Arial"/>
          <w:color w:val="000000"/>
          <w:sz w:val="40"/>
        </w:rPr>
        <w:t>10. Four-Hour Momentum</w:t>
      </w:r>
      <w:bookmarkEnd w:id="10"/>
    </w:p>
    <w:p>
      <w:pPr/>
      <w:r>
        <w:rPr>
          <w:rFonts w:ascii="Arial" w:hAnsi="Arial" w:eastAsia="Arial"/>
          <w:color w:val="000000"/>
          <w:sz w:val="22"/>
        </w:rPr>
        <w:t>The four-hour score uses: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RSI zone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RSI direction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MACD versus signal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MACD versus zero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histogram direction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filter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confirmed divergence evidence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Constructive State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RSI at or above 50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MACD above signal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histogram rising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confirmed daily filter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Extended State</w:t>
      </w:r>
    </w:p>
    <w:p>
      <w:pPr/>
      <w:r>
        <w:rPr>
          <w:rFonts w:ascii="Arial" w:hAnsi="Arial" w:eastAsia="Arial"/>
          <w:color w:val="000000"/>
          <w:sz w:val="22"/>
        </w:rPr>
        <w:t>Very high RSI can remain bullish, but the system caps the score because a late entry can have poor geometry.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Warning State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RSI below 50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MACD below signal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negative divergence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loss of warning level</w:t>
      </w:r>
    </w:p>
    <w:p>
      <w:pPr/>
      <w:r>
        <w:rPr>
          <w:rFonts w:ascii="Arial" w:hAnsi="Arial" w:eastAsia="Arial"/>
          <w:color w:val="000000"/>
          <w:sz w:val="22"/>
        </w:rPr>
        <w:t>Warnings do not predict a reversal. They identify evidence that conflicts with a new long-call entry or requires reassessment of an existing thesis.</w:t>
      </w:r>
    </w:p>
    <w:p>
      <w:bookmarkStart w:id="11" w:name="section_11"/>
      <w:pPr>
        <w:pStyle w:val="Heading1"/>
      </w:pPr>
      <w:r>
        <w:rPr>
          <w:rFonts w:ascii="Arial" w:hAnsi="Arial" w:eastAsia="Arial"/>
          <w:color w:val="000000"/>
          <w:sz w:val="40"/>
        </w:rPr>
        <w:t>11. Contract Selection</w:t>
      </w:r>
      <w:bookmarkEnd w:id="11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11.1 DTE</w:t>
      </w:r>
    </w:p>
    <w:p>
      <w:pPr/>
      <w:r>
        <w:rPr>
          <w:rFonts w:ascii="Arial" w:hAnsi="Arial" w:eastAsia="Arial"/>
          <w:color w:val="000000"/>
          <w:sz w:val="22"/>
        </w:rPr>
        <w:t>More time generally means: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more premium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slower theta impact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more time for the thesis to work</w:t>
      </w:r>
    </w:p>
    <w:p>
      <w:pPr/>
      <w:r>
        <w:rPr>
          <w:rFonts w:ascii="Arial" w:hAnsi="Arial" w:eastAsia="Arial"/>
          <w:color w:val="000000"/>
          <w:sz w:val="22"/>
        </w:rPr>
        <w:t>Less time generally means: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lower premium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faster time decay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greater sensitivity to timing error</w:t>
      </w:r>
    </w:p>
    <w:p>
      <w:pPr/>
      <w:r>
        <w:rPr>
          <w:rFonts w:ascii="Arial" w:hAnsi="Arial" w:eastAsia="Arial"/>
          <w:color w:val="000000"/>
          <w:sz w:val="22"/>
        </w:rPr>
        <w:t>The lane ranges prevent the screener from selecting contracts that are too short or unnecessarily far dated for the intended thesis window.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11.2 Delta</w:t>
      </w:r>
    </w:p>
    <w:p>
      <w:pPr/>
      <w:r>
        <w:rPr>
          <w:rFonts w:ascii="Arial" w:hAnsi="Arial" w:eastAsia="Arial"/>
          <w:color w:val="000000"/>
          <w:sz w:val="22"/>
        </w:rPr>
        <w:t>Delta is the approximate option-price sensitivity to a one-dollar underlying move, holding other factors constant.</w:t>
      </w:r>
    </w:p>
    <w:p>
      <w:pPr/>
      <w:r>
        <w:rPr>
          <w:rFonts w:ascii="Arial" w:hAnsi="Arial" w:eastAsia="Arial"/>
          <w:color w:val="000000"/>
          <w:sz w:val="22"/>
        </w:rPr>
        <w:t>Higher delta: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tracks the underlying more directly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usually costs more premium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often has less leverage per premium dollar</w:t>
      </w:r>
    </w:p>
    <w:p>
      <w:pPr/>
      <w:r>
        <w:rPr>
          <w:rFonts w:ascii="Arial" w:hAnsi="Arial" w:eastAsia="Arial"/>
          <w:color w:val="000000"/>
          <w:sz w:val="22"/>
        </w:rPr>
        <w:t>Lower delta: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costs less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needs more directional movement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can be more sensitive to volatility and time</w:t>
      </w:r>
    </w:p>
    <w:p>
      <w:pPr/>
      <w:r>
        <w:rPr>
          <w:rFonts w:ascii="Arial" w:hAnsi="Arial" w:eastAsia="Arial"/>
          <w:color w:val="000000"/>
          <w:sz w:val="22"/>
        </w:rPr>
        <w:t>The system treats delta as a range, not a single magical number.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11.3 Spread</w:t>
      </w:r>
    </w:p>
    <w:p>
      <w:pPr/>
      <w:r>
        <w:rPr>
          <w:rFonts w:ascii="Arial" w:hAnsi="Arial" w:eastAsia="Arial"/>
          <w:color w:val="000000"/>
          <w:sz w:val="22"/>
        </w:rPr>
        <w:t>Spread cost can erase a chart edge. The screener measures:</w:t>
      </w:r>
    </w:p>
    <w:p>
      <w:pPr>
        <w:pStyle w:val="CodeBlock"/>
      </w:pPr>
      <w:r>
        <w:rPr>
          <w:rFonts w:ascii="Courier New" w:hAnsi="Courier New" w:eastAsia="Courier New"/>
          <w:color w:val="434343"/>
          <w:sz w:val="20"/>
        </w:rPr>
        <w:t>(ask - bid) / midpoint</w:t>
      </w:r>
    </w:p>
    <w:p>
      <w:pPr/>
      <w:r>
        <w:rPr>
          <w:rFonts w:ascii="Arial" w:hAnsi="Arial" w:eastAsia="Arial"/>
          <w:color w:val="000000"/>
          <w:sz w:val="22"/>
        </w:rPr>
        <w:t>A narrow spread improves entry and exit flexibility. A zero bid, crossed quote, or stale quote is not acceptable.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11.4 Open Interest And Volume</w:t>
      </w:r>
    </w:p>
    <w:p>
      <w:pPr/>
      <w:r>
        <w:rPr>
          <w:rFonts w:ascii="Arial" w:hAnsi="Arial" w:eastAsia="Arial"/>
          <w:color w:val="000000"/>
          <w:sz w:val="22"/>
        </w:rPr>
        <w:t>Open interest indicates outstanding contracts. Daily volume indicates current trading activity. Neither alone guarantees liquidity, so they are combined with spread and quote freshness.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11.5 Implied Volatility</w:t>
      </w:r>
    </w:p>
    <w:p>
      <w:pPr/>
      <w:r>
        <w:rPr>
          <w:rFonts w:ascii="Arial" w:hAnsi="Arial" w:eastAsia="Arial"/>
          <w:color w:val="000000"/>
          <w:sz w:val="22"/>
        </w:rPr>
        <w:t>Implied volatility affects premium. High IV can make a call expensive even when the chart is attractive. The dashboard shows IV and realized-volatility context when available, but IV is not a hidden universal rejection rule.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11.6 Greeks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Delta:</w:t>
      </w:r>
      <w:r>
        <w:rPr>
          <w:rFonts w:ascii="Arial" w:hAnsi="Arial" w:eastAsia="Arial"/>
          <w:color w:val="000000"/>
          <w:sz w:val="22"/>
        </w:rPr>
        <w:t xml:space="preserve"> directional sensitivity.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Gamma:</w:t>
      </w:r>
      <w:r>
        <w:rPr>
          <w:rFonts w:ascii="Arial" w:hAnsi="Arial" w:eastAsia="Arial"/>
          <w:color w:val="000000"/>
          <w:sz w:val="22"/>
        </w:rPr>
        <w:t xml:space="preserve"> rate of change in delta.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Theta:</w:t>
      </w:r>
      <w:r>
        <w:rPr>
          <w:rFonts w:ascii="Arial" w:hAnsi="Arial" w:eastAsia="Arial"/>
          <w:color w:val="000000"/>
          <w:sz w:val="22"/>
        </w:rPr>
        <w:t xml:space="preserve"> modeled time-decay sensitivity.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Vega:</w:t>
      </w:r>
      <w:r>
        <w:rPr>
          <w:rFonts w:ascii="Arial" w:hAnsi="Arial" w:eastAsia="Arial"/>
          <w:color w:val="000000"/>
          <w:sz w:val="22"/>
        </w:rPr>
        <w:t xml:space="preserve"> modeled implied-volatility sensitivity.</w:t>
      </w:r>
    </w:p>
    <w:p>
      <w:pPr/>
      <w:r>
        <w:rPr>
          <w:rFonts w:ascii="Arial" w:hAnsi="Arial" w:eastAsia="Arial"/>
          <w:color w:val="000000"/>
          <w:sz w:val="22"/>
        </w:rPr>
        <w:t>Greeks are model outputs, not guarantees. They change with price, time, and implied volatility.</w:t>
      </w:r>
    </w:p>
    <w:p>
      <w:bookmarkStart w:id="12" w:name="section_12"/>
      <w:pPr>
        <w:pStyle w:val="Heading1"/>
      </w:pPr>
      <w:r>
        <w:rPr>
          <w:rFonts w:ascii="Arial" w:hAnsi="Arial" w:eastAsia="Arial"/>
          <w:color w:val="000000"/>
          <w:sz w:val="40"/>
        </w:rPr>
        <w:t>12. Event And Data Risk</w:t>
      </w:r>
      <w:bookmarkEnd w:id="12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Earnings</w:t>
      </w:r>
    </w:p>
    <w:p>
      <w:pPr/>
      <w:r>
        <w:rPr>
          <w:rFonts w:ascii="Arial" w:hAnsi="Arial" w:eastAsia="Arial"/>
          <w:color w:val="000000"/>
          <w:sz w:val="22"/>
        </w:rPr>
        <w:t>The system does not qualify a new trade through an earnings announcement.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earnings inside blackout: rejected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earnings unknown: verification state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earnings clear: event gate may pass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Data Freshness</w:t>
      </w:r>
    </w:p>
    <w:p>
      <w:pPr/>
      <w:r>
        <w:rPr>
          <w:rFonts w:ascii="Arial" w:hAnsi="Arial" w:eastAsia="Arial"/>
          <w:color w:val="000000"/>
          <w:sz w:val="22"/>
        </w:rPr>
        <w:t>Check: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market-data timestamp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quote timestamp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completed-candle flag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option feed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checked timestamp</w:t>
      </w:r>
    </w:p>
    <w:p>
      <w:pPr/>
      <w:r>
        <w:rPr>
          <w:rFonts w:ascii="Arial" w:hAnsi="Arial" w:eastAsia="Arial"/>
          <w:color w:val="000000"/>
          <w:sz w:val="22"/>
        </w:rPr>
        <w:t>Stale data is not made safe by a strong chart score.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Feed Posture</w:t>
      </w:r>
    </w:p>
    <w:p>
      <w:pPr/>
      <w:r>
        <w:rPr>
          <w:rFonts w:ascii="Arial" w:hAnsi="Arial" w:eastAsia="Arial"/>
          <w:color w:val="000000"/>
          <w:sz w:val="22"/>
        </w:rPr>
        <w:t>Alpaca documents two option data postures: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Indicative:</w:t>
      </w:r>
      <w:r>
        <w:rPr>
          <w:rFonts w:ascii="Arial" w:hAnsi="Arial" w:eastAsia="Arial"/>
          <w:color w:val="000000"/>
          <w:sz w:val="22"/>
        </w:rPr>
        <w:t xml:space="preserve"> derived pricing and delayed derivative trades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b/>
          <w:color w:val="000000"/>
          <w:sz w:val="22"/>
        </w:rPr>
        <w:t>OPRA:</w:t>
      </w:r>
      <w:r>
        <w:rPr>
          <w:rFonts w:ascii="Arial" w:hAnsi="Arial" w:eastAsia="Arial"/>
          <w:color w:val="000000"/>
          <w:sz w:val="22"/>
        </w:rPr>
        <w:t xml:space="preserve"> consolidated market quotes for subscribed users</w:t>
      </w:r>
    </w:p>
    <w:p>
      <w:pPr/>
      <w:r>
        <w:rPr>
          <w:rFonts w:ascii="Arial" w:hAnsi="Arial" w:eastAsia="Arial"/>
          <w:color w:val="000000"/>
          <w:sz w:val="22"/>
        </w:rPr>
        <w:t>The screener therefore requires OPRA for a fully trustworthy contract state.</w:t>
      </w:r>
    </w:p>
    <w:p>
      <w:bookmarkStart w:id="13" w:name="section_13"/>
      <w:pPr>
        <w:pStyle w:val="Heading1"/>
      </w:pPr>
      <w:r>
        <w:rPr>
          <w:rFonts w:ascii="Arial" w:hAnsi="Arial" w:eastAsia="Arial"/>
          <w:color w:val="000000"/>
          <w:sz w:val="40"/>
        </w:rPr>
        <w:t>13. Reading The HTML Dashboard</w:t>
      </w:r>
      <w:bookmarkEnd w:id="13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Top Bar</w:t>
      </w:r>
    </w:p>
    <w:p>
      <w:pPr/>
      <w:r>
        <w:rPr>
          <w:rFonts w:ascii="Arial" w:hAnsi="Arial" w:eastAsia="Arial"/>
          <w:color w:val="000000"/>
          <w:sz w:val="22"/>
        </w:rPr>
        <w:t>Confirms: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strategy name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scan type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generated timestamp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market-data timestamp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fixture label when simulated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Market Band</w:t>
      </w:r>
    </w:p>
    <w:p>
      <w:pPr/>
      <w:r>
        <w:rPr>
          <w:rFonts w:ascii="Arial" w:hAnsi="Arial" w:eastAsia="Arial"/>
          <w:color w:val="000000"/>
          <w:sz w:val="22"/>
        </w:rPr>
        <w:t>Shows: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regime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 score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breadth above SMA50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breadth above EMA21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evaluated symbols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ready and verification counts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Candidate Table</w:t>
      </w:r>
    </w:p>
    <w:p>
      <w:pPr/>
      <w:r>
        <w:rPr>
          <w:rFonts w:ascii="Arial" w:hAnsi="Arial" w:eastAsia="Arial"/>
          <w:color w:val="000000"/>
          <w:sz w:val="22"/>
        </w:rPr>
        <w:t>Use it for comparison: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symbol and lane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review state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selected pattern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trend, leadership, and momentum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selected contract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trigger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invalidation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objective</w:t>
      </w:r>
    </w:p>
    <w:p>
      <w:pPr/>
      <w:r>
        <w:rPr>
          <w:rFonts w:ascii="Arial" w:hAnsi="Arial" w:eastAsia="Arial"/>
          <w:color w:val="000000"/>
          <w:sz w:val="22"/>
        </w:rPr>
        <w:t>Use state segments, search, and lane filtering to reduce the list.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Candidate Detail</w:t>
      </w:r>
    </w:p>
    <w:p>
      <w:pPr/>
      <w:r>
        <w:rPr>
          <w:rFonts w:ascii="Arial" w:hAnsi="Arial" w:eastAsia="Arial"/>
          <w:color w:val="000000"/>
          <w:sz w:val="22"/>
        </w:rPr>
        <w:t>Review in this order:</w:t>
      </w:r>
    </w:p>
    <w:p>
      <w:pPr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state and lane</w:t>
      </w:r>
    </w:p>
    <w:p>
      <w:pPr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invalidation-to-trigger geometry</w:t>
      </w:r>
    </w:p>
    <w:p>
      <w:pPr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evidence bars</w:t>
      </w:r>
    </w:p>
    <w:p>
      <w:pPr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 notes</w:t>
      </w:r>
    </w:p>
    <w:p>
      <w:pPr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 and spread</w:t>
      </w:r>
    </w:p>
    <w:p>
      <w:pPr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status</w:t>
      </w:r>
    </w:p>
    <w:p>
      <w:pPr>
        <w:keepLines/>
        <w:numPr>
          <w:ilvl w:val="0"/>
          <w:numId w:val="15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pending reason codes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Rejected Diagnostics</w:t>
      </w:r>
    </w:p>
    <w:p>
      <w:pPr/>
      <w:r>
        <w:rPr>
          <w:rFonts w:ascii="Arial" w:hAnsi="Arial" w:eastAsia="Arial"/>
          <w:color w:val="000000"/>
          <w:sz w:val="22"/>
        </w:rPr>
        <w:t>Rejected records are useful. They show whether the problem was data quality, hard protection, contract quality, or incomplete evidence.</w:t>
      </w:r>
    </w:p>
    <w:p>
      <w:bookmarkStart w:id="14" w:name="section_14"/>
      <w:pPr>
        <w:pStyle w:val="Heading1"/>
      </w:pPr>
      <w:r>
        <w:rPr>
          <w:rFonts w:ascii="Arial" w:hAnsi="Arial" w:eastAsia="Arial"/>
          <w:color w:val="000000"/>
          <w:sz w:val="40"/>
        </w:rPr>
        <w:t>14. Using The Pine Scripts</w:t>
      </w:r>
      <w:bookmarkEnd w:id="14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Daily Command</w:t>
      </w:r>
    </w:p>
    <w:p>
      <w:pPr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Open a daily chart.</w:t>
      </w:r>
    </w:p>
    <w:p>
      <w:pPr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 xml:space="preserve">Add </w:t>
      </w:r>
      <w:r>
        <w:rPr>
          <w:rFonts w:ascii="Courier New" w:hAnsi="Courier New" w:eastAsia="Courier New"/>
          <w:color w:val="434343"/>
          <w:sz w:val="21"/>
        </w:rPr>
        <w:t>AS_Command_1D_v4.pine</w:t>
      </w:r>
      <w:r>
        <w:rPr>
          <w:rFonts w:ascii="Arial" w:hAnsi="Arial" w:eastAsia="Arial"/>
          <w:color w:val="000000"/>
          <w:sz w:val="22"/>
        </w:rPr>
        <w:t>.</w:t>
      </w:r>
    </w:p>
    <w:p>
      <w:pPr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Set the peer benchmark when reviewing a single stock.</w:t>
      </w:r>
    </w:p>
    <w:p>
      <w:pPr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moving averages and selected pattern.</w:t>
      </w:r>
    </w:p>
    <w:p>
      <w:pPr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Read trigger, invalidation, and objective.</w:t>
      </w:r>
    </w:p>
    <w:p>
      <w:pPr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Check trend, leadership, setup, and market-proxy rows.</w:t>
      </w:r>
    </w:p>
    <w:p>
      <w:pPr>
        <w:keepLines/>
        <w:numPr>
          <w:ilvl w:val="0"/>
          <w:numId w:val="16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 xml:space="preserve">Treat </w:t>
      </w:r>
      <w:r>
        <w:rPr>
          <w:rFonts w:ascii="Courier New" w:hAnsi="Courier New" w:eastAsia="Courier New"/>
          <w:color w:val="434343"/>
          <w:sz w:val="21"/>
        </w:rPr>
        <w:t>Ready - Verify</w:t>
      </w:r>
      <w:r>
        <w:rPr>
          <w:rFonts w:ascii="Arial" w:hAnsi="Arial" w:eastAsia="Arial"/>
          <w:color w:val="000000"/>
          <w:sz w:val="22"/>
        </w:rPr>
        <w:t xml:space="preserve"> as a chart-review state, not a contract approval.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Four-Hour Momentum</w:t>
      </w:r>
    </w:p>
    <w:p>
      <w:pPr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Open the same symbol on the four-hour timeframe.</w:t>
      </w:r>
    </w:p>
    <w:p>
      <w:pPr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 xml:space="preserve">Add </w:t>
      </w:r>
      <w:r>
        <w:rPr>
          <w:rFonts w:ascii="Courier New" w:hAnsi="Courier New" w:eastAsia="Courier New"/>
          <w:color w:val="434343"/>
          <w:sz w:val="21"/>
        </w:rPr>
        <w:t>AS_Momentum_4H_v4.pine</w:t>
      </w:r>
      <w:r>
        <w:rPr>
          <w:rFonts w:ascii="Arial" w:hAnsi="Arial" w:eastAsia="Arial"/>
          <w:color w:val="000000"/>
          <w:sz w:val="22"/>
        </w:rPr>
        <w:t>.</w:t>
      </w:r>
    </w:p>
    <w:p>
      <w:pPr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the daily filter passes.</w:t>
      </w:r>
    </w:p>
    <w:p>
      <w:pPr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Review RSI, MACD histogram, trigger, support, and warning.</w:t>
      </w:r>
    </w:p>
    <w:p>
      <w:pPr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Note positive or negative divergence markers.</w:t>
      </w:r>
    </w:p>
    <w:p>
      <w:pPr>
        <w:keepLines/>
        <w:numPr>
          <w:ilvl w:val="0"/>
          <w:numId w:val="17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Require the completed four-hour candle.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Alerts</w:t>
      </w:r>
    </w:p>
    <w:p>
      <w:pPr/>
      <w:r>
        <w:rPr>
          <w:rFonts w:ascii="Arial" w:hAnsi="Arial" w:eastAsia="Arial"/>
          <w:color w:val="000000"/>
          <w:sz w:val="22"/>
        </w:rPr>
        <w:t>The scripts expose alert conditions. TradingView does not create a running alert from code alone. Create the alert in the TradingView interface and choose once-per-bar close behavior.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Non-Repainting Rule</w:t>
      </w:r>
    </w:p>
    <w:p>
      <w:pPr/>
      <w:r>
        <w:rPr>
          <w:rFonts w:ascii="Arial" w:hAnsi="Arial" w:eastAsia="Arial"/>
          <w:color w:val="000000"/>
          <w:sz w:val="22"/>
        </w:rPr>
        <w:t xml:space="preserve">Higher-timeframe requests use the prior confirmed higher-timeframe value with </w:t>
      </w:r>
      <w:r>
        <w:rPr>
          <w:rFonts w:ascii="Courier New" w:hAnsi="Courier New" w:eastAsia="Courier New"/>
          <w:color w:val="434343"/>
          <w:sz w:val="21"/>
        </w:rPr>
        <w:t>barmerge.lookahead_on</w:t>
      </w:r>
      <w:r>
        <w:rPr>
          <w:rFonts w:ascii="Arial" w:hAnsi="Arial" w:eastAsia="Arial"/>
          <w:color w:val="000000"/>
          <w:sz w:val="22"/>
        </w:rPr>
        <w:t>. The offset and lookahead setting work together. Removing the offset can leak future values on historical bars.</w:t>
      </w:r>
    </w:p>
    <w:p>
      <w:bookmarkStart w:id="15" w:name="section_15"/>
      <w:pPr>
        <w:pStyle w:val="Heading1"/>
      </w:pPr>
      <w:r>
        <w:rPr>
          <w:rFonts w:ascii="Arial" w:hAnsi="Arial" w:eastAsia="Arial"/>
          <w:color w:val="000000"/>
          <w:sz w:val="40"/>
        </w:rPr>
        <w:t>15. Daily Operating Workflow</w:t>
      </w:r>
      <w:bookmarkEnd w:id="15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Post Close</w:t>
      </w:r>
    </w:p>
    <w:p>
      <w:pPr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the market session completed.</w:t>
      </w:r>
    </w:p>
    <w:p>
      <w:pPr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Run the post-close scan.</w:t>
      </w:r>
    </w:p>
    <w:p>
      <w:pPr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Verify timestamp and feed posture.</w:t>
      </w:r>
    </w:p>
    <w:p>
      <w:pPr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Review market regime and breadth.</w:t>
      </w:r>
    </w:p>
    <w:p>
      <w:pPr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Review Ready first, then verification states, then Developing.</w:t>
      </w:r>
    </w:p>
    <w:p>
      <w:pPr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Read rejected diagnostics for data or event problems.</w:t>
      </w:r>
    </w:p>
    <w:p>
      <w:pPr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Compare daily Pine geometry with the Python report.</w:t>
      </w:r>
    </w:p>
    <w:p>
      <w:pPr>
        <w:keepLines/>
        <w:numPr>
          <w:ilvl w:val="0"/>
          <w:numId w:val="18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Record the candidate and reason codes in the research journal.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Premarket</w:t>
      </w:r>
    </w:p>
    <w:p>
      <w:pPr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Recheck event status.</w:t>
      </w:r>
    </w:p>
    <w:p>
      <w:pPr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Recheck option quote freshness when available.</w:t>
      </w:r>
    </w:p>
    <w:p>
      <w:pPr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no material gap invalidates the daily geometry.</w:t>
      </w:r>
    </w:p>
    <w:p>
      <w:pPr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Do not convert an indicative contract into a fully ready state.</w:t>
      </w:r>
    </w:p>
    <w:p>
      <w:pPr>
        <w:keepLines/>
        <w:numPr>
          <w:ilvl w:val="0"/>
          <w:numId w:val="19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Reassess only; the daily setup still belongs to the completed daily chart.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Four-Hour Refresh</w:t>
      </w:r>
    </w:p>
    <w:p>
      <w:pPr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Confirm the four-hour candle completed.</w:t>
      </w:r>
    </w:p>
    <w:p>
      <w:pPr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Check daily filter.</w:t>
      </w:r>
    </w:p>
    <w:p>
      <w:pPr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Check RSI and MACD state.</w:t>
      </w:r>
    </w:p>
    <w:p>
      <w:pPr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Check trigger, support, and warning.</w:t>
      </w:r>
    </w:p>
    <w:p>
      <w:pPr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Note any state change.</w:t>
      </w:r>
    </w:p>
    <w:p>
      <w:pPr>
        <w:keepLines/>
        <w:numPr>
          <w:ilvl w:val="0"/>
          <w:numId w:val="2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Keep the underlying invalidation authoritative.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Weekly Radar</w:t>
      </w:r>
    </w:p>
    <w:p>
      <w:pPr>
        <w:keepLines/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Review market and sector participation.</w:t>
      </w:r>
    </w:p>
    <w:p>
      <w:pPr>
        <w:keepLines/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Look for forming multiweek bases.</w:t>
      </w:r>
    </w:p>
    <w:p>
      <w:pPr>
        <w:keepLines/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Separate early research candidates from actionable states.</w:t>
      </w:r>
    </w:p>
    <w:p>
      <w:pPr>
        <w:keepLines/>
        <w:numPr>
          <w:ilvl w:val="0"/>
          <w:numId w:val="2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Update the next week's event calendar.</w:t>
      </w:r>
    </w:p>
    <w:p>
      <w:bookmarkStart w:id="16" w:name="section_16"/>
      <w:pPr>
        <w:pStyle w:val="Heading1"/>
      </w:pPr>
      <w:r>
        <w:rPr>
          <w:rFonts w:ascii="Arial" w:hAnsi="Arial" w:eastAsia="Arial"/>
          <w:color w:val="000000"/>
          <w:sz w:val="40"/>
        </w:rPr>
        <w:t>16. Entry And Management Process</w:t>
      </w:r>
      <w:bookmarkEnd w:id="16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Before Any Decision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 not hostile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trend passes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 ready or recently confirmed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four-hour momentum aligned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status clear or explicitly verified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 inside lane bounds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 and liquidity acceptable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live quote fresh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underlying invalidation clear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path to objective reviewed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Underlying Invalidation</w:t>
      </w:r>
    </w:p>
    <w:p>
      <w:pPr/>
      <w:r>
        <w:rPr>
          <w:rFonts w:ascii="Arial" w:hAnsi="Arial" w:eastAsia="Arial"/>
          <w:color w:val="000000"/>
          <w:sz w:val="22"/>
        </w:rPr>
        <w:t>The invalidation defines where the chart thesis is wrong. It is not derived from a fixed option-premium percentage.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Five-Session Reassessment</w:t>
      </w:r>
    </w:p>
    <w:p>
      <w:pPr/>
      <w:r>
        <w:rPr>
          <w:rFonts w:ascii="Arial" w:hAnsi="Arial" w:eastAsia="Arial"/>
          <w:color w:val="000000"/>
          <w:sz w:val="22"/>
        </w:rPr>
        <w:t>After five sessions without meaningful progress: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check whether structure still holds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check whether momentum deteriorated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check whether event risk changed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check remaining DTE and spread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decide whether the thesis still deserves time</w:t>
      </w:r>
    </w:p>
    <w:p>
      <w:pPr/>
      <w:r>
        <w:rPr>
          <w:rFonts w:ascii="Arial" w:hAnsi="Arial" w:eastAsia="Arial"/>
          <w:color w:val="000000"/>
          <w:sz w:val="22"/>
        </w:rPr>
        <w:t>This is a reassessment rule, not an automatic universal exit.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DTE Requalification</w:t>
      </w:r>
    </w:p>
    <w:p>
      <w:pPr/>
      <w:r>
        <w:rPr>
          <w:rFonts w:ascii="Arial" w:hAnsi="Arial" w:eastAsia="Arial"/>
          <w:color w:val="000000"/>
          <w:sz w:val="22"/>
        </w:rPr>
        <w:t>At the lane boundary: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Index Core: 30 DTE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 Swing: 21 DTE</w:t>
      </w:r>
    </w:p>
    <w:p>
      <w:pPr/>
      <w:r>
        <w:rPr>
          <w:rFonts w:ascii="Arial" w:hAnsi="Arial" w:eastAsia="Arial"/>
          <w:color w:val="000000"/>
          <w:sz w:val="22"/>
        </w:rPr>
        <w:t>Fully requalify: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trend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momentum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remaining thesis window</w:t>
      </w:r>
    </w:p>
    <w:p>
      <w:pPr/>
      <w:r>
        <w:rPr>
          <w:rFonts w:ascii="Arial" w:hAnsi="Arial" w:eastAsia="Arial"/>
          <w:color w:val="000000"/>
          <w:sz w:val="22"/>
        </w:rPr>
        <w:t>Do not carry a contract merely because it was once qualified.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Full Premium Loss</w:t>
      </w:r>
    </w:p>
    <w:p>
      <w:pPr/>
      <w:r>
        <w:rPr>
          <w:rFonts w:ascii="Arial" w:hAnsi="Arial" w:eastAsia="Arial"/>
          <w:color w:val="000000"/>
          <w:sz w:val="22"/>
        </w:rPr>
        <w:t>Long-call sizing must assume the premium can be lost. This manual does not prescribe an account allocation or a universal number of contracts.</w:t>
      </w:r>
    </w:p>
    <w:p>
      <w:bookmarkStart w:id="17" w:name="section_17"/>
      <w:pPr>
        <w:pStyle w:val="Heading1"/>
      </w:pPr>
      <w:r>
        <w:rPr>
          <w:rFonts w:ascii="Arial" w:hAnsi="Arial" w:eastAsia="Arial"/>
          <w:color w:val="000000"/>
          <w:sz w:val="40"/>
        </w:rPr>
        <w:t>17. Research And Optimization</w:t>
      </w:r>
      <w:bookmarkEnd w:id="17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Evidence Levels</w:t>
      </w:r>
    </w:p>
    <w:p>
      <w:pPr/>
      <w:r>
        <w:rPr>
          <w:rFonts w:ascii="Arial" w:hAnsi="Arial" w:eastAsia="Arial"/>
          <w:b/>
          <w:color w:val="000000"/>
          <w:sz w:val="22"/>
        </w:rPr>
        <w:t>Exploratory:</w:t>
      </w:r>
      <w:r>
        <w:rPr>
          <w:rFonts w:ascii="Arial" w:hAnsi="Arial" w:eastAsia="Arial"/>
          <w:color w:val="000000"/>
          <w:sz w:val="22"/>
        </w:rPr>
        <w:t xml:space="preserve"> Too few observations for reliance.</w:t>
      </w:r>
    </w:p>
    <w:p>
      <w:pPr/>
      <w:r>
        <w:rPr>
          <w:rFonts w:ascii="Arial" w:hAnsi="Arial" w:eastAsia="Arial"/>
          <w:b/>
          <w:color w:val="000000"/>
          <w:sz w:val="22"/>
        </w:rPr>
        <w:t>Provisional:</w:t>
      </w:r>
      <w:r>
        <w:rPr>
          <w:rFonts w:ascii="Arial" w:hAnsi="Arial" w:eastAsia="Arial"/>
          <w:color w:val="000000"/>
          <w:sz w:val="22"/>
        </w:rPr>
        <w:t xml:space="preserve"> Enough observations to inspect, not enough for production claims.</w:t>
      </w:r>
    </w:p>
    <w:p>
      <w:pPr/>
      <w:r>
        <w:rPr>
          <w:rFonts w:ascii="Arial" w:hAnsi="Arial" w:eastAsia="Arial"/>
          <w:b/>
          <w:color w:val="000000"/>
          <w:sz w:val="22"/>
        </w:rPr>
        <w:t>Validated:</w:t>
      </w:r>
      <w:r>
        <w:rPr>
          <w:rFonts w:ascii="Arial" w:hAnsi="Arial" w:eastAsia="Arial"/>
          <w:color w:val="000000"/>
          <w:sz w:val="22"/>
        </w:rPr>
        <w:t xml:space="preserve"> The defined sample threshold is met, but causal quality, held-out performance, concentration, and robustness still require review.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Underlying Replay</w:t>
      </w:r>
    </w:p>
    <w:p>
      <w:pPr/>
      <w:r>
        <w:rPr>
          <w:rFonts w:ascii="Arial" w:hAnsi="Arial" w:eastAsia="Arial"/>
          <w:color w:val="000000"/>
          <w:sz w:val="22"/>
        </w:rPr>
        <w:t>Sequential replay proves that each signal was generated from a historical prefix. It is useful for: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look-ahead testing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 frequency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trigger and invalidation order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underlying MFE and MAE</w:t>
      </w:r>
    </w:p>
    <w:p>
      <w:pPr/>
      <w:r>
        <w:rPr>
          <w:rFonts w:ascii="Arial" w:hAnsi="Arial" w:eastAsia="Arial"/>
          <w:color w:val="000000"/>
          <w:sz w:val="22"/>
        </w:rPr>
        <w:t>It does not prove option performance.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Long-Call Simulation</w:t>
      </w:r>
    </w:p>
    <w:p>
      <w:pPr/>
      <w:r>
        <w:rPr>
          <w:rFonts w:ascii="Arial" w:hAnsi="Arial" w:eastAsia="Arial"/>
          <w:color w:val="000000"/>
          <w:sz w:val="22"/>
        </w:rPr>
        <w:t>The contract simulator requires: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point-in-time contract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point-in-time bid and ask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conservative ask entry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conservative bid exit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commission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stale-quote rejection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same-bar pessimism</w:t>
      </w:r>
    </w:p>
    <w:p>
      <w:pPr>
        <w:keepLines/>
        <w:numPr>
          <w:ilvl w:val="0"/>
          <w:numId w:val="10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and DTE rules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Walk-Forward Review</w:t>
      </w:r>
    </w:p>
    <w:p>
      <w:pPr/>
      <w:r>
        <w:rPr>
          <w:rFonts w:ascii="Arial" w:hAnsi="Arial" w:eastAsia="Arial"/>
          <w:color w:val="000000"/>
          <w:sz w:val="22"/>
        </w:rPr>
        <w:t>Parameters are selected on earlier data and tested on later data. Every held-out fold is reported. Weak periods are not hidden.</w:t>
      </w:r>
    </w:p>
    <w:p>
      <w:pPr/>
      <w:r>
        <w:rPr>
          <w:rFonts w:ascii="Arial" w:hAnsi="Arial" w:eastAsia="Arial"/>
          <w:color w:val="000000"/>
          <w:sz w:val="22"/>
        </w:rPr>
        <w:t xml:space="preserve">Research can make a setting eligible for shadow validation. It cannot silently change </w:t>
      </w:r>
      <w:r>
        <w:rPr>
          <w:rFonts w:ascii="Courier New" w:hAnsi="Courier New" w:eastAsia="Courier New"/>
          <w:color w:val="434343"/>
          <w:sz w:val="21"/>
        </w:rPr>
        <w:t>config/strategy.yaml</w:t>
      </w:r>
      <w:r>
        <w:rPr>
          <w:rFonts w:ascii="Arial" w:hAnsi="Arial" w:eastAsia="Arial"/>
          <w:color w:val="000000"/>
          <w:sz w:val="22"/>
        </w:rPr>
        <w:t>.</w:t>
      </w:r>
    </w:p>
    <w:p>
      <w:bookmarkStart w:id="18" w:name="section_18"/>
      <w:pPr>
        <w:pStyle w:val="Heading1"/>
      </w:pPr>
      <w:r>
        <w:rPr>
          <w:rFonts w:ascii="Arial" w:hAnsi="Arial" w:eastAsia="Arial"/>
          <w:color w:val="000000"/>
          <w:sz w:val="40"/>
        </w:rPr>
        <w:t>18. Research Journal Template</w:t>
      </w:r>
      <w:bookmarkEnd w:id="18"/>
    </w:p>
    <w:p>
      <w:pPr/>
      <w:r>
        <w:rPr>
          <w:rFonts w:ascii="Arial" w:hAnsi="Arial" w:eastAsia="Arial"/>
          <w:color w:val="000000"/>
          <w:sz w:val="22"/>
        </w:rPr>
        <w:t>Record: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000"/>
        <w:tblInd w:w="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ADCE0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00000"/>
                <w:sz w:val="21"/>
              </w:rPr>
            </w:r>
            <w:r>
              <w:rPr>
                <w:rFonts w:ascii="Arial" w:hAnsi="Arial" w:eastAsia="Arial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ADCE0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00000"/>
                <w:sz w:val="21"/>
              </w:rPr>
            </w:r>
            <w:r>
              <w:rPr>
                <w:rFonts w:ascii="Arial" w:hAnsi="Arial" w:eastAsia="Arial"/>
                <w:b/>
                <w:color w:val="000000"/>
                <w:sz w:val="21"/>
              </w:rPr>
              <w:t>Entry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Timestamp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Symbol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Lane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Market regime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Pattern and state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Trend / leadership / setup / momentum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Trigger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Invalidation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Resistance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Objective and basis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Earnings date and source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Contract symbol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DTE / delta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Bid / ask / spread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OI / volume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IV and Greeks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Feed and quote timestamp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Pending reason codes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Five-session review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  <w:r>
              <w:rPr>
                <w:rFonts w:ascii="Arial" w:hAnsi="Arial" w:eastAsia="Arial"/>
                <w:b w:val="0"/>
                <w:color w:val="000000"/>
                <w:sz w:val="21"/>
              </w:rPr>
              <w:t>Final observation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il"/>
              <w:bottom w:val="single" w:sz="4" w:space="0" w:color="DADCE0"/>
              <w:start w:val="nil"/>
              <w:end w:val="nil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Arial" w:hAnsi="Arial" w:eastAsia="Arial"/>
          <w:color w:val="000000"/>
          <w:sz w:val="22"/>
        </w:rPr>
        <w:t>Do not record a fixture as live market evidence.</w:t>
      </w:r>
    </w:p>
    <w:p>
      <w:bookmarkStart w:id="19" w:name="section_19"/>
      <w:pPr>
        <w:pStyle w:val="Heading1"/>
      </w:pPr>
      <w:r>
        <w:rPr>
          <w:rFonts w:ascii="Arial" w:hAnsi="Arial" w:eastAsia="Arial"/>
          <w:color w:val="000000"/>
          <w:sz w:val="40"/>
        </w:rPr>
        <w:t>19. Checklists</w:t>
      </w:r>
      <w:bookmarkEnd w:id="19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Candidate Checklist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Completed daily candle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 not hostile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Price above SMA200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Not extended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Lane identified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Leadership passes when required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 geometry valid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Trigger and invalidation ordered correctly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Pattern not stale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Four-hour candle completed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Momentum aligned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status checked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Contract feed identified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DTE and delta inside hard range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Spread, OI, volume, and freshness pass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Full premium loss considered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Pine Checklist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Command on daily chart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Peer benchmark correct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Selected pattern matches report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Trigger and invalidation match the thesis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Four-hour Momentum on four-hour chart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Daily filter passes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Alerts configured once per bar close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alert is treated as a brokerage instruction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Data Checklist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Market timestamp current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Option quote current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Event timestamp current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Feed is OPRA or state remains verification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incomplete candle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missing or zero-volume bar</w:t>
      </w:r>
    </w:p>
    <w:p>
      <w:pPr>
        <w:keepLines/>
        <w:numPr>
          <w:ilvl w:val="0"/>
          <w:numId w:val="11"/>
        </w:num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No crossed or zero-ask quote</w:t>
      </w:r>
    </w:p>
    <w:p>
      <w:bookmarkStart w:id="20" w:name="section_20"/>
      <w:pPr>
        <w:pStyle w:val="Heading1"/>
      </w:pPr>
      <w:r>
        <w:rPr>
          <w:rFonts w:ascii="Arial" w:hAnsi="Arial" w:eastAsia="Arial"/>
          <w:color w:val="000000"/>
          <w:sz w:val="40"/>
        </w:rPr>
        <w:t>20. Common Errors</w:t>
      </w:r>
      <w:bookmarkEnd w:id="20"/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Chasing A Stale Breakout</w:t>
      </w:r>
    </w:p>
    <w:p>
      <w:pPr/>
      <w:r>
        <w:rPr>
          <w:rFonts w:ascii="Arial" w:hAnsi="Arial" w:eastAsia="Arial"/>
          <w:color w:val="000000"/>
          <w:sz w:val="22"/>
        </w:rPr>
        <w:t>The pattern confirmed several bars ago and price is extended. The correct state is stale or rejected, not ready.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Treating Indicative Quotes As Tradable</w:t>
      </w:r>
    </w:p>
    <w:p>
      <w:pPr/>
      <w:r>
        <w:rPr>
          <w:rFonts w:ascii="Arial" w:hAnsi="Arial" w:eastAsia="Arial"/>
          <w:color w:val="000000"/>
          <w:sz w:val="22"/>
        </w:rPr>
        <w:t>Indicative data can support research but cannot establish a fully trustworthy contract.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Ignoring Earnings</w:t>
      </w:r>
    </w:p>
    <w:p>
      <w:pPr/>
      <w:r>
        <w:rPr>
          <w:rFonts w:ascii="Arial" w:hAnsi="Arial" w:eastAsia="Arial"/>
          <w:color w:val="000000"/>
          <w:sz w:val="22"/>
        </w:rPr>
        <w:t>Unknown earnings is not clear earnings. The state remains verification.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Using Premium As The Thesis</w:t>
      </w:r>
    </w:p>
    <w:p>
      <w:pPr/>
      <w:r>
        <w:rPr>
          <w:rFonts w:ascii="Arial" w:hAnsi="Arial" w:eastAsia="Arial"/>
          <w:color w:val="000000"/>
          <w:sz w:val="22"/>
        </w:rPr>
        <w:t>The option premium is noisy. The underlying invalidation defines the thesis.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Optimizing Hit Rate</w:t>
      </w:r>
    </w:p>
    <w:p>
      <w:pPr/>
      <w:r>
        <w:rPr>
          <w:rFonts w:ascii="Arial" w:hAnsi="Arial" w:eastAsia="Arial"/>
          <w:color w:val="000000"/>
          <w:sz w:val="22"/>
        </w:rPr>
        <w:t>A high positive-return frequency can still produce poor outcomes if losses are large, spreads are wide, or the sample is concentrated. Optimize robust after-cost evidence, not a headline percentage.</w:t>
      </w:r>
    </w:p>
    <w:p>
      <w:pPr>
        <w:pStyle w:val="Heading2"/>
      </w:pPr>
      <w:r>
        <w:rPr>
          <w:rFonts w:ascii="Arial" w:hAnsi="Arial" w:eastAsia="Arial"/>
          <w:color w:val="000000"/>
          <w:sz w:val="32"/>
        </w:rPr>
        <w:t>Adding Every Indicator To The Score</w:t>
      </w:r>
    </w:p>
    <w:p>
      <w:pPr/>
      <w:r>
        <w:rPr>
          <w:rFonts w:ascii="Arial" w:hAnsi="Arial" w:eastAsia="Arial"/>
          <w:color w:val="000000"/>
          <w:sz w:val="22"/>
        </w:rPr>
        <w:t>More indicators do not automatically mean more information. Correlated indicators can double-count the same trend. New evidence requires a causal rationale and held-out improvement.</w:t>
      </w:r>
    </w:p>
    <w:p>
      <w:bookmarkStart w:id="21" w:name="section_21"/>
      <w:pPr>
        <w:pStyle w:val="Heading1"/>
      </w:pPr>
      <w:r>
        <w:rPr>
          <w:rFonts w:ascii="Arial" w:hAnsi="Arial" w:eastAsia="Arial"/>
          <w:color w:val="000000"/>
          <w:sz w:val="40"/>
        </w:rPr>
        <w:t>21. Glossary</w:t>
      </w:r>
      <w:bookmarkEnd w:id="21"/>
    </w:p>
    <w:p>
      <w:pPr/>
      <w:r>
        <w:rPr>
          <w:rFonts w:ascii="Arial" w:hAnsi="Arial" w:eastAsia="Arial"/>
          <w:b/>
          <w:color w:val="000000"/>
          <w:sz w:val="22"/>
        </w:rPr>
        <w:t>ATR:</w:t>
      </w:r>
      <w:r>
        <w:rPr>
          <w:rFonts w:ascii="Arial" w:hAnsi="Arial" w:eastAsia="Arial"/>
          <w:color w:val="000000"/>
          <w:sz w:val="22"/>
        </w:rPr>
        <w:t xml:space="preserve"> Average True Range, a volatility measure used to scale distances.</w:t>
      </w:r>
    </w:p>
    <w:p>
      <w:pPr/>
      <w:r>
        <w:rPr>
          <w:rFonts w:ascii="Arial" w:hAnsi="Arial" w:eastAsia="Arial"/>
          <w:b/>
          <w:color w:val="000000"/>
          <w:sz w:val="22"/>
        </w:rPr>
        <w:t>AVWAP:</w:t>
      </w:r>
      <w:r>
        <w:rPr>
          <w:rFonts w:ascii="Arial" w:hAnsi="Arial" w:eastAsia="Arial"/>
          <w:color w:val="000000"/>
          <w:sz w:val="22"/>
        </w:rPr>
        <w:t xml:space="preserve"> Anchored volume-weighted average price. The implementation uses a recent rolling volume-weighted reference.</w:t>
      </w:r>
    </w:p>
    <w:p>
      <w:pPr/>
      <w:r>
        <w:rPr>
          <w:rFonts w:ascii="Arial" w:hAnsi="Arial" w:eastAsia="Arial"/>
          <w:b/>
          <w:color w:val="000000"/>
          <w:sz w:val="22"/>
        </w:rPr>
        <w:t>Bid:</w:t>
      </w:r>
      <w:r>
        <w:rPr>
          <w:rFonts w:ascii="Arial" w:hAnsi="Arial" w:eastAsia="Arial"/>
          <w:color w:val="000000"/>
          <w:sz w:val="22"/>
        </w:rPr>
        <w:t xml:space="preserve"> Highest displayed buying price.</w:t>
      </w:r>
    </w:p>
    <w:p>
      <w:pPr/>
      <w:r>
        <w:rPr>
          <w:rFonts w:ascii="Arial" w:hAnsi="Arial" w:eastAsia="Arial"/>
          <w:b/>
          <w:color w:val="000000"/>
          <w:sz w:val="22"/>
        </w:rPr>
        <w:t>Ask:</w:t>
      </w:r>
      <w:r>
        <w:rPr>
          <w:rFonts w:ascii="Arial" w:hAnsi="Arial" w:eastAsia="Arial"/>
          <w:color w:val="000000"/>
          <w:sz w:val="22"/>
        </w:rPr>
        <w:t xml:space="preserve"> Lowest displayed selling price.</w:t>
      </w:r>
    </w:p>
    <w:p>
      <w:pPr/>
      <w:r>
        <w:rPr>
          <w:rFonts w:ascii="Arial" w:hAnsi="Arial" w:eastAsia="Arial"/>
          <w:b/>
          <w:color w:val="000000"/>
          <w:sz w:val="22"/>
        </w:rPr>
        <w:t>DTE:</w:t>
      </w:r>
      <w:r>
        <w:rPr>
          <w:rFonts w:ascii="Arial" w:hAnsi="Arial" w:eastAsia="Arial"/>
          <w:color w:val="000000"/>
          <w:sz w:val="22"/>
        </w:rPr>
        <w:t xml:space="preserve"> Calendar days to expiration.</w:t>
      </w:r>
    </w:p>
    <w:p>
      <w:pPr/>
      <w:r>
        <w:rPr>
          <w:rFonts w:ascii="Arial" w:hAnsi="Arial" w:eastAsia="Arial"/>
          <w:b/>
          <w:color w:val="000000"/>
          <w:sz w:val="22"/>
        </w:rPr>
        <w:t>Delta:</w:t>
      </w:r>
      <w:r>
        <w:rPr>
          <w:rFonts w:ascii="Arial" w:hAnsi="Arial" w:eastAsia="Arial"/>
          <w:color w:val="000000"/>
          <w:sz w:val="22"/>
        </w:rPr>
        <w:t xml:space="preserve"> Modeled option-price sensitivity to underlying price.</w:t>
      </w:r>
    </w:p>
    <w:p>
      <w:pPr/>
      <w:r>
        <w:rPr>
          <w:rFonts w:ascii="Arial" w:hAnsi="Arial" w:eastAsia="Arial"/>
          <w:b/>
          <w:color w:val="000000"/>
          <w:sz w:val="22"/>
        </w:rPr>
        <w:t>Gamma:</w:t>
      </w:r>
      <w:r>
        <w:rPr>
          <w:rFonts w:ascii="Arial" w:hAnsi="Arial" w:eastAsia="Arial"/>
          <w:color w:val="000000"/>
          <w:sz w:val="22"/>
        </w:rPr>
        <w:t xml:space="preserve"> Modeled rate of change in delta.</w:t>
      </w:r>
    </w:p>
    <w:p>
      <w:pPr/>
      <w:r>
        <w:rPr>
          <w:rFonts w:ascii="Arial" w:hAnsi="Arial" w:eastAsia="Arial"/>
          <w:b/>
          <w:color w:val="000000"/>
          <w:sz w:val="22"/>
        </w:rPr>
        <w:t>Theta:</w:t>
      </w:r>
      <w:r>
        <w:rPr>
          <w:rFonts w:ascii="Arial" w:hAnsi="Arial" w:eastAsia="Arial"/>
          <w:color w:val="000000"/>
          <w:sz w:val="22"/>
        </w:rPr>
        <w:t xml:space="preserve"> Modeled sensitivity to passage of time.</w:t>
      </w:r>
    </w:p>
    <w:p>
      <w:pPr/>
      <w:r>
        <w:rPr>
          <w:rFonts w:ascii="Arial" w:hAnsi="Arial" w:eastAsia="Arial"/>
          <w:b/>
          <w:color w:val="000000"/>
          <w:sz w:val="22"/>
        </w:rPr>
        <w:t>Vega:</w:t>
      </w:r>
      <w:r>
        <w:rPr>
          <w:rFonts w:ascii="Arial" w:hAnsi="Arial" w:eastAsia="Arial"/>
          <w:color w:val="000000"/>
          <w:sz w:val="22"/>
        </w:rPr>
        <w:t xml:space="preserve"> Modeled sensitivity to implied volatility.</w:t>
      </w:r>
    </w:p>
    <w:p>
      <w:pPr/>
      <w:r>
        <w:rPr>
          <w:rFonts w:ascii="Arial" w:hAnsi="Arial" w:eastAsia="Arial"/>
          <w:b/>
          <w:color w:val="000000"/>
          <w:sz w:val="22"/>
        </w:rPr>
        <w:t>Implied volatility:</w:t>
      </w:r>
      <w:r>
        <w:rPr>
          <w:rFonts w:ascii="Arial" w:hAnsi="Arial" w:eastAsia="Arial"/>
          <w:color w:val="000000"/>
          <w:sz w:val="22"/>
        </w:rPr>
        <w:t xml:space="preserve"> Volatility embedded in option pricing.</w:t>
      </w:r>
    </w:p>
    <w:p>
      <w:pPr/>
      <w:r>
        <w:rPr>
          <w:rFonts w:ascii="Arial" w:hAnsi="Arial" w:eastAsia="Arial"/>
          <w:b/>
          <w:color w:val="000000"/>
          <w:sz w:val="22"/>
        </w:rPr>
        <w:t>Open interest:</w:t>
      </w:r>
      <w:r>
        <w:rPr>
          <w:rFonts w:ascii="Arial" w:hAnsi="Arial" w:eastAsia="Arial"/>
          <w:color w:val="000000"/>
          <w:sz w:val="22"/>
        </w:rPr>
        <w:t xml:space="preserve"> Outstanding contracts.</w:t>
      </w:r>
    </w:p>
    <w:p>
      <w:pPr/>
      <w:r>
        <w:rPr>
          <w:rFonts w:ascii="Arial" w:hAnsi="Arial" w:eastAsia="Arial"/>
          <w:b/>
          <w:color w:val="000000"/>
          <w:sz w:val="22"/>
        </w:rPr>
        <w:t>MFE:</w:t>
      </w:r>
      <w:r>
        <w:rPr>
          <w:rFonts w:ascii="Arial" w:hAnsi="Arial" w:eastAsia="Arial"/>
          <w:color w:val="000000"/>
          <w:sz w:val="22"/>
        </w:rPr>
        <w:t xml:space="preserve"> Maximum favorable excursion after entry.</w:t>
      </w:r>
    </w:p>
    <w:p>
      <w:pPr/>
      <w:r>
        <w:rPr>
          <w:rFonts w:ascii="Arial" w:hAnsi="Arial" w:eastAsia="Arial"/>
          <w:b/>
          <w:color w:val="000000"/>
          <w:sz w:val="22"/>
        </w:rPr>
        <w:t>MAE:</w:t>
      </w:r>
      <w:r>
        <w:rPr>
          <w:rFonts w:ascii="Arial" w:hAnsi="Arial" w:eastAsia="Arial"/>
          <w:color w:val="000000"/>
          <w:sz w:val="22"/>
        </w:rPr>
        <w:t xml:space="preserve"> Maximum adverse excursion after entry.</w:t>
      </w:r>
    </w:p>
    <w:p>
      <w:pPr/>
      <w:r>
        <w:rPr>
          <w:rFonts w:ascii="Arial" w:hAnsi="Arial" w:eastAsia="Arial"/>
          <w:b/>
          <w:color w:val="000000"/>
          <w:sz w:val="22"/>
        </w:rPr>
        <w:t>Point in time:</w:t>
      </w:r>
      <w:r>
        <w:rPr>
          <w:rFonts w:ascii="Arial" w:hAnsi="Arial" w:eastAsia="Arial"/>
          <w:color w:val="000000"/>
          <w:sz w:val="22"/>
        </w:rPr>
        <w:t xml:space="preserve"> Data known at the historical decision timestamp.</w:t>
      </w:r>
    </w:p>
    <w:p>
      <w:pPr/>
      <w:r>
        <w:rPr>
          <w:rFonts w:ascii="Arial" w:hAnsi="Arial" w:eastAsia="Arial"/>
          <w:b/>
          <w:color w:val="000000"/>
          <w:sz w:val="22"/>
        </w:rPr>
        <w:t>Walk-forward:</w:t>
      </w:r>
      <w:r>
        <w:rPr>
          <w:rFonts w:ascii="Arial" w:hAnsi="Arial" w:eastAsia="Arial"/>
          <w:color w:val="000000"/>
          <w:sz w:val="22"/>
        </w:rPr>
        <w:t xml:space="preserve"> Chronological train-then-test evaluation.</w:t>
      </w:r>
    </w:p>
    <w:p>
      <w:pPr/>
      <w:r>
        <w:rPr>
          <w:rFonts w:ascii="Arial" w:hAnsi="Arial" w:eastAsia="Arial"/>
          <w:b/>
          <w:color w:val="000000"/>
          <w:sz w:val="22"/>
        </w:rPr>
        <w:t>Shadow validation:</w:t>
      </w:r>
      <w:r>
        <w:rPr>
          <w:rFonts w:ascii="Arial" w:hAnsi="Arial" w:eastAsia="Arial"/>
          <w:color w:val="000000"/>
          <w:sz w:val="22"/>
        </w:rPr>
        <w:t xml:space="preserve"> Forward observation without changing production behavior.</w:t>
      </w:r>
    </w:p>
    <w:p>
      <w:bookmarkStart w:id="22" w:name="section_22"/>
      <w:pPr>
        <w:pStyle w:val="Heading1"/>
      </w:pPr>
      <w:r>
        <w:rPr>
          <w:rFonts w:ascii="Arial" w:hAnsi="Arial" w:eastAsia="Arial"/>
          <w:color w:val="000000"/>
          <w:sz w:val="40"/>
        </w:rPr>
        <w:t>22. Authoritative Sources</w:t>
      </w:r>
      <w:bookmarkEnd w:id="22"/>
    </w:p>
    <w:p>
      <w:pPr>
        <w:keepLines/>
        <w:numPr>
          <w:ilvl w:val="0"/>
          <w:numId w:val="10"/>
        </w:numPr>
        <w:spacing w:after="80" w:line="276" w:lineRule="auto"/>
      </w:pPr>
      <w:hyperlink r:id="rId9">
        <w:r>
          <w:rPr>
            <w:rFonts w:ascii="Arial" w:hAnsi="Arial"/>
            <w:color w:val="1155CC"/>
            <w:u w:val="single"/>
          </w:rPr>
          <w:t>OCC Characteristics and Risks of Standardized Options</w:t>
        </w:r>
      </w:hyperlink>
    </w:p>
    <w:p>
      <w:pPr>
        <w:keepLines/>
        <w:numPr>
          <w:ilvl w:val="0"/>
          <w:numId w:val="10"/>
        </w:numPr>
        <w:spacing w:after="80" w:line="276" w:lineRule="auto"/>
      </w:pPr>
      <w:hyperlink r:id="rId10">
        <w:r>
          <w:rPr>
            <w:rFonts w:ascii="Arial" w:hAnsi="Arial"/>
            <w:color w:val="1155CC"/>
            <w:u w:val="single"/>
          </w:rPr>
          <w:t>FINRA Options Investor Guide</w:t>
        </w:r>
      </w:hyperlink>
    </w:p>
    <w:p>
      <w:pPr>
        <w:keepLines/>
        <w:numPr>
          <w:ilvl w:val="0"/>
          <w:numId w:val="10"/>
        </w:numPr>
        <w:spacing w:after="80" w:line="276" w:lineRule="auto"/>
      </w:pPr>
      <w:hyperlink r:id="rId11">
        <w:r>
          <w:rPr>
            <w:rFonts w:ascii="Arial" w:hAnsi="Arial"/>
            <w:color w:val="1155CC"/>
            <w:u w:val="single"/>
          </w:rPr>
          <w:t>Alpaca Historical Option Data</w:t>
        </w:r>
      </w:hyperlink>
    </w:p>
    <w:p>
      <w:pPr>
        <w:keepLines/>
        <w:numPr>
          <w:ilvl w:val="0"/>
          <w:numId w:val="10"/>
        </w:numPr>
        <w:spacing w:after="80" w:line="276" w:lineRule="auto"/>
      </w:pPr>
      <w:hyperlink r:id="rId12">
        <w:r>
          <w:rPr>
            <w:rFonts w:ascii="Arial" w:hAnsi="Arial"/>
            <w:color w:val="1155CC"/>
            <w:u w:val="single"/>
          </w:rPr>
          <w:t>Massive Options Data</w:t>
        </w:r>
      </w:hyperlink>
    </w:p>
    <w:p>
      <w:pPr>
        <w:keepLines/>
        <w:numPr>
          <w:ilvl w:val="0"/>
          <w:numId w:val="10"/>
        </w:numPr>
        <w:spacing w:after="80" w:line="276" w:lineRule="auto"/>
      </w:pPr>
      <w:hyperlink r:id="rId13">
        <w:r>
          <w:rPr>
            <w:rFonts w:ascii="Arial" w:hAnsi="Arial"/>
            <w:color w:val="1155CC"/>
            <w:u w:val="single"/>
          </w:rPr>
          <w:t>TradingView Pine Repainting Guidance</w:t>
        </w:r>
      </w:hyperlink>
    </w:p>
    <w:p>
      <w:pPr>
        <w:keepLines/>
        <w:numPr>
          <w:ilvl w:val="0"/>
          <w:numId w:val="10"/>
        </w:numPr>
        <w:spacing w:after="80" w:line="276" w:lineRule="auto"/>
      </w:pPr>
      <w:hyperlink r:id="rId14">
        <w:r>
          <w:rPr>
            <w:rFonts w:ascii="Arial" w:hAnsi="Arial"/>
            <w:color w:val="1155CC"/>
            <w:u w:val="single"/>
          </w:rPr>
          <w:t>TradingView Pine Limitations</w:t>
        </w:r>
      </w:hyperlink>
    </w:p>
    <w:p>
      <w:pPr>
        <w:keepLines/>
        <w:numPr>
          <w:ilvl w:val="0"/>
          <w:numId w:val="10"/>
        </w:numPr>
        <w:spacing w:after="80" w:line="276" w:lineRule="auto"/>
      </w:pPr>
      <w:hyperlink r:id="rId15">
        <w:r>
          <w:rPr>
            <w:rFonts w:ascii="Arial" w:hAnsi="Arial"/>
            <w:color w:val="1155CC"/>
            <w:u w:val="single"/>
          </w:rPr>
          <w:t>TradingView Alerts</w:t>
        </w:r>
      </w:hyperlink>
    </w:p>
    <w:p>
      <w:pPr>
        <w:keepLines/>
        <w:numPr>
          <w:ilvl w:val="0"/>
          <w:numId w:val="10"/>
        </w:numPr>
        <w:spacing w:after="80" w:line="276" w:lineRule="auto"/>
      </w:pPr>
      <w:hyperlink r:id="rId16">
        <w:r>
          <w:rPr>
            <w:rFonts w:ascii="Arial" w:hAnsi="Arial"/>
            <w:color w:val="1155CC"/>
            <w:u w:val="single"/>
          </w:rPr>
          <w:t>TradingView Pine Screener Requirements</w:t>
        </w:r>
      </w:hyperlink>
    </w:p>
    <w:p>
      <w:pPr>
        <w:keepLines/>
        <w:numPr>
          <w:ilvl w:val="0"/>
          <w:numId w:val="10"/>
        </w:numPr>
        <w:spacing w:after="80" w:line="276" w:lineRule="auto"/>
      </w:pPr>
      <w:hyperlink r:id="rId17">
        <w:r>
          <w:rPr>
            <w:rFonts w:ascii="Arial" w:hAnsi="Arial"/>
            <w:color w:val="1155CC"/>
            <w:u w:val="single"/>
          </w:rPr>
          <w:t>Exchange Calendars</w:t>
        </w:r>
      </w:hyperlink>
    </w:p>
    <w:p>
      <w:pPr/>
      <w:r>
        <w:rPr>
          <w:rFonts w:ascii="Arial" w:hAnsi="Arial" w:eastAsia="Arial"/>
          <w:color w:val="000000"/>
          <w:sz w:val="22"/>
        </w:rPr>
        <w:t>The OCC disclosure document should be read before buying or selling exchange-traded options. Provider and platform documentation can change; verify the current version before relying on a feature or data field.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 w:eastAsia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 w:eastAsia="Arial"/>
      </w:rPr>
    </w:lvl>
  </w:abstract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 w:eastAsia="Arial"/>
      </w:rPr>
    </w:lvl>
  </w:abstractNum>
  <w:num w:numId="10">
    <w:abstractNumId w:val="9"/>
  </w:num>
  <w:num w:numId="11">
    <w:abstractNumId w:val="11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00" w:after="120" w:line="240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40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80" w:line="240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ubtitle">
    <w:name w:val="Manual Subtitle"/>
    <w:pPr>
      <w:keepNext/>
      <w:spacing w:before="0" w:after="280"/>
    </w:pPr>
    <w:rPr>
      <w:rFonts w:ascii="Arial" w:hAnsi="Arial"/>
      <w:color w:val="434343"/>
      <w:sz w:val="32"/>
    </w:rPr>
  </w:style>
  <w:style w:type="paragraph" w:customStyle="1" w:styleId="CodeBlock">
    <w:name w:val="Code Block"/>
    <w:pPr>
      <w:keepLines/>
      <w:spacing w:before="80" w:after="160" w:line="240" w:lineRule="auto"/>
      <w:ind w:left="360" w:right="360"/>
    </w:pPr>
    <w:rPr>
      <w:rFonts w:ascii="Courier New" w:hAnsi="Courier New"/>
      <w:color w:val="43434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occ.com/company-information/documents-and-archives/options-disclosure-document" TargetMode="External"/><Relationship Id="rId10" Type="http://schemas.openxmlformats.org/officeDocument/2006/relationships/hyperlink" Target="https://www.finra.org/investors/investing/investment-products/options" TargetMode="External"/><Relationship Id="rId11" Type="http://schemas.openxmlformats.org/officeDocument/2006/relationships/hyperlink" Target="https://docs.alpaca.markets/us/docs/historical-option-data" TargetMode="External"/><Relationship Id="rId12" Type="http://schemas.openxmlformats.org/officeDocument/2006/relationships/hyperlink" Target="https://www.massive.com/business-options" TargetMode="External"/><Relationship Id="rId13" Type="http://schemas.openxmlformats.org/officeDocument/2006/relationships/hyperlink" Target="https://www.tradingview.com/pine-script-docs/concepts/repainting/" TargetMode="External"/><Relationship Id="rId14" Type="http://schemas.openxmlformats.org/officeDocument/2006/relationships/hyperlink" Target="https://www.tradingview.com/pine-script-docs/writing/limitations/" TargetMode="External"/><Relationship Id="rId15" Type="http://schemas.openxmlformats.org/officeDocument/2006/relationships/hyperlink" Target="https://www.tradingview.com/pine-script-docs/concepts/alerts/" TargetMode="External"/><Relationship Id="rId16" Type="http://schemas.openxmlformats.org/officeDocument/2006/relationships/hyperlink" Target="https://www.tradingview.com/support/solutions/43000742436-tradingview-pine-screener-key-features-and-requirements/" TargetMode="External"/><Relationship Id="rId17" Type="http://schemas.openxmlformats.org/officeDocument/2006/relationships/hyperlink" Target="https://github.com/gerrymanoim/exchange_calenda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Swing Suite - Bullish Participation v4 Training Manual</dc:title>
  <dc:subject>Operating manual for the Bullish Participation v4 research screener</dc:subject>
  <dc:creator>Ali Swing Suite</dc:creator>
  <cp:keywords>bullish participation, long calls, screening, research, Pine Script</cp:keywords>
  <dc:description>Read-only educational research system.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