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Register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2"/>
        <w:gridCol w:w="3077"/>
        <w:gridCol w:w="1554"/>
        <w:gridCol w:w="1721"/>
        <w:gridCol w:w="2805"/>
        <w:gridCol w:w="2941"/>
        <w:tblGridChange w:id="0">
          <w:tblGrid>
            <w:gridCol w:w="2462"/>
            <w:gridCol w:w="3077"/>
            <w:gridCol w:w="1554"/>
            <w:gridCol w:w="1721"/>
            <w:gridCol w:w="2805"/>
            <w:gridCol w:w="2941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Description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Level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Level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summary of the risk.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will happen if the risk is not mitigated?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(LOW) to 5 (HIGH).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(LOW) to 5 (HIGH).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x PROBABILITY. Address highest first.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be done to mitigate the risk?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unwell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Team member unable to complete their part of project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Fewer resources for team to utilise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Communicate that you are unwell quickly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Reassign tasks to suitable members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failure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Loss of project data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Team member no longer able to contribute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Make sure work is backed up (cloud server, USB, etc.)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Have backup plan if primary hardware stops working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Ignore important project requirement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project does not satisfy the client’s requirements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-Confirm that all requirements before coding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-Communicate with client more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comes up with new requirements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-Project needs to be modified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-Impact time plan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-Check the time available and the importance, try adding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have conflicting ideas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-Relationships within the team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-Reduce work efficiency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-Vote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-Members with conflicting ideas communicate individually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not satisfied with the product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-Impact the final marks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-Impact the Client  experience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-More communication with client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-After completing the design, can ask the client for comments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time management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-Unable to complete on time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-Make a schedule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overlaps amongst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-low efficiency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-Some parts have no suitable candidates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-Complete skills and resource audit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-Complete the difficult parts together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security issues in backend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-Bank account number password disclosure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-Economic loss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vulnerability and bug detection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-Conduct multiple tests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security issues in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-Personal information disclosure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a secure database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-Conduct multiple tests</w:t>
            </w:r>
          </w:p>
        </w:tc>
      </w:tr>
    </w:tbl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054350" cy="30174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01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AU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049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uiPriority w:val="35"/>
    <w:unhideWhenUsed w:val="1"/>
    <w:qFormat w:val="1"/>
    <w:rsid w:val="0095049A"/>
    <w:pPr>
      <w:spacing w:after="200"/>
    </w:pPr>
    <w:rPr>
      <w:i w:val="1"/>
      <w:iCs w:val="1"/>
      <w:sz w:val="24"/>
      <w:szCs w:val="18"/>
    </w:rPr>
  </w:style>
  <w:style w:type="paragraph" w:styleId="ListParagraph">
    <w:name w:val="List Paragraph"/>
    <w:basedOn w:val="Normal"/>
    <w:uiPriority w:val="34"/>
    <w:qFormat w:val="1"/>
    <w:rsid w:val="0095049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D2B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x721jIIv0xPfn2z/hHpgNBIIA==">AMUW2mUIUzaNafc/ahTdASvM4Yh7dtJP/LaN57HUj8FEkll9TffdJGD6cveh26nO4coQyWs6JStyc36vNtaUSXMNMYBQFKD+lSl4cTnRdts6Y3btKFPxMSg=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2022-08-15T07:19:00Z</dcterms:created>
  <dc:creator>Luke Antoncich</dc:creator>
</cp:coreProperties>
</file>