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6A07" w14:textId="77777777" w:rsidR="00A12F42" w:rsidRDefault="00A12F42" w:rsidP="00A13ED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30C7F" w14:paraId="6A8F5C69" w14:textId="77777777" w:rsidTr="00076930">
        <w:tc>
          <w:tcPr>
            <w:tcW w:w="1271" w:type="dxa"/>
          </w:tcPr>
          <w:p w14:paraId="0B918130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bookmarkStart w:id="0" w:name="_GoBack" w:colFirst="1" w:colLast="1"/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課程名稱</w:t>
            </w:r>
          </w:p>
        </w:tc>
        <w:tc>
          <w:tcPr>
            <w:tcW w:w="7025" w:type="dxa"/>
          </w:tcPr>
          <w:p w14:paraId="253E855F" w14:textId="797DE85A" w:rsidR="00930C7F" w:rsidRPr="00984238" w:rsidRDefault="00930C7F" w:rsidP="00930C7F">
            <w:pPr>
              <w:rPr>
                <w:rFonts w:ascii="Georgia" w:hAnsi="Georgia"/>
              </w:rPr>
            </w:pPr>
            <w:r w:rsidRPr="00956B87">
              <w:rPr>
                <w:rFonts w:ascii="Georgia" w:eastAsia="標楷體" w:hAnsi="Georgia" w:cs="Open Sans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人文</w:t>
            </w:r>
            <w:r w:rsidRPr="00956B87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100</w:t>
            </w:r>
            <w:r w:rsidRPr="00956B87">
              <w:rPr>
                <w:rFonts w:ascii="Georgia" w:eastAsia="標楷體" w:hAnsi="Georgia" w:cs="Open Sans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：人文之旅</w:t>
            </w:r>
            <w:r w:rsidRPr="00956B87">
              <w:rPr>
                <w:rFonts w:ascii="Georgia" w:eastAsia="標楷體" w:hAnsi="Georgia" w:cs="Open Sans" w:hint="eastAsia"/>
                <w:b/>
                <w:color w:val="000000"/>
                <w:kern w:val="0"/>
                <w:sz w:val="32"/>
                <w:szCs w:val="32"/>
                <w:bdr w:val="none" w:sz="0" w:space="0" w:color="auto" w:frame="1"/>
              </w:rPr>
              <w:t>從此刻開始</w:t>
            </w:r>
          </w:p>
        </w:tc>
      </w:tr>
      <w:bookmarkEnd w:id="0"/>
      <w:tr w:rsidR="00930C7F" w14:paraId="7960D2C0" w14:textId="77777777" w:rsidTr="00076930">
        <w:tc>
          <w:tcPr>
            <w:tcW w:w="1271" w:type="dxa"/>
          </w:tcPr>
          <w:p w14:paraId="18D90C40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課程連結</w:t>
            </w:r>
          </w:p>
        </w:tc>
        <w:tc>
          <w:tcPr>
            <w:tcW w:w="7025" w:type="dxa"/>
          </w:tcPr>
          <w:p w14:paraId="59B7C080" w14:textId="247C69D1" w:rsidR="00930C7F" w:rsidRPr="00984238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956B87">
              <w:rPr>
                <w:rFonts w:ascii="標楷體" w:eastAsia="標楷體" w:hAnsi="標楷體" w:hint="eastAsia"/>
                <w:szCs w:val="24"/>
              </w:rPr>
              <w:t>本文摘自</w:t>
            </w:r>
            <w:r>
              <w:rPr>
                <w:rFonts w:ascii="標楷體" w:eastAsia="標楷體" w:hAnsi="標楷體" w:hint="eastAsia"/>
                <w:szCs w:val="24"/>
              </w:rPr>
              <w:t>課程</w:t>
            </w:r>
            <w:r w:rsidRPr="00956B87">
              <w:rPr>
                <w:rFonts w:ascii="標楷體" w:eastAsia="標楷體" w:hAnsi="標楷體" w:hint="eastAsia"/>
                <w:szCs w:val="24"/>
              </w:rPr>
              <w:t>〈</w:t>
            </w:r>
            <w:hyperlink r:id="rId7" w:history="1">
              <w:r w:rsidRPr="00956B87">
                <w:rPr>
                  <w:rStyle w:val="a4"/>
                  <w:rFonts w:ascii="Times New Roman" w:eastAsia="標楷體" w:hAnsi="Times New Roman" w:cs="Times New Roman"/>
                  <w:szCs w:val="24"/>
                  <w:shd w:val="clear" w:color="auto" w:fill="FFFFFF"/>
                </w:rPr>
                <w:t>Humanities 100: The Humanities Now!</w:t>
              </w:r>
              <w:r w:rsidRPr="00956B87">
                <w:rPr>
                  <w:rStyle w:val="a4"/>
                  <w:rFonts w:ascii="Times New Roman" w:eastAsia="標楷體" w:hAnsi="Times New Roman" w:cs="Times New Roman" w:hint="eastAsia"/>
                  <w:b/>
                  <w:szCs w:val="24"/>
                </w:rPr>
                <w:t xml:space="preserve"> </w:t>
              </w:r>
              <w:r w:rsidRPr="00956B87">
                <w:rPr>
                  <w:rStyle w:val="a4"/>
                  <w:rFonts w:ascii="Times New Roman" w:eastAsia="標楷體" w:hAnsi="Times New Roman" w:cs="Times New Roman"/>
                  <w:szCs w:val="24"/>
                  <w:shd w:val="clear" w:color="auto" w:fill="FFFFFF"/>
                </w:rPr>
                <w:t>(2018)</w:t>
              </w:r>
            </w:hyperlink>
            <w:r>
              <w:rPr>
                <w:rFonts w:hint="eastAsia"/>
              </w:rPr>
              <w:t xml:space="preserve"> </w:t>
            </w:r>
            <w:r w:rsidRPr="00956B87">
              <w:rPr>
                <w:rFonts w:ascii="Times New Roman" w:eastAsia="標楷體" w:hAnsi="Times New Roman" w:cs="Times New Roman" w:hint="eastAsia"/>
                <w:color w:val="000000"/>
                <w:szCs w:val="24"/>
                <w:shd w:val="clear" w:color="auto" w:fill="FFFFFF"/>
              </w:rPr>
              <w:t>〉</w:t>
            </w:r>
            <w:r>
              <w:rPr>
                <w:rFonts w:ascii="標楷體" w:eastAsia="標楷體" w:hAnsi="標楷體" w:hint="eastAsia"/>
                <w:szCs w:val="24"/>
              </w:rPr>
              <w:t>，由</w:t>
            </w:r>
            <w:r w:rsidRPr="00D75A43">
              <w:rPr>
                <w:rFonts w:ascii="標楷體" w:eastAsia="標楷體" w:hAnsi="標楷體" w:hint="eastAsia"/>
                <w:szCs w:val="24"/>
                <w:u w:val="single"/>
              </w:rPr>
              <w:t>邱永泰</w:t>
            </w:r>
            <w:r w:rsidRPr="00956B87">
              <w:rPr>
                <w:rFonts w:ascii="標楷體" w:eastAsia="標楷體" w:hAnsi="標楷體" w:hint="eastAsia"/>
                <w:szCs w:val="24"/>
              </w:rPr>
              <w:t>統整後撰文。</w:t>
            </w:r>
          </w:p>
        </w:tc>
      </w:tr>
      <w:tr w:rsidR="00930C7F" w14:paraId="4FBC895B" w14:textId="77777777" w:rsidTr="00076930">
        <w:tc>
          <w:tcPr>
            <w:tcW w:w="1271" w:type="dxa"/>
          </w:tcPr>
          <w:p w14:paraId="1282114E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授課老師</w:t>
            </w:r>
          </w:p>
        </w:tc>
        <w:tc>
          <w:tcPr>
            <w:tcW w:w="7025" w:type="dxa"/>
          </w:tcPr>
          <w:p w14:paraId="22DE9310" w14:textId="2D095890" w:rsidR="00930C7F" w:rsidRPr="00984238" w:rsidRDefault="00930C7F" w:rsidP="00930C7F">
            <w:pPr>
              <w:widowControl/>
              <w:spacing w:beforeAutospacing="1" w:afterAutospacing="1"/>
              <w:jc w:val="both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凱瑟琳·福爾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 w:rsidRPr="00954F4F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Katherine M. Faull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、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約翰·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杭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特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 w:rsidRPr="00954F4F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John C. Hunter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、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詹姆斯·馬克·希爾茲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 w:rsidRPr="00954F4F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James Mark Shields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、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丹尼爾·布雷特·勒勞爾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 w:rsidRPr="00954F4F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Daniel Bret Leraul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、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黛安·雅卡奇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 w:rsidRPr="00954F4F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Diane Jakacki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</w:tc>
      </w:tr>
      <w:tr w:rsidR="00930C7F" w14:paraId="6D257594" w14:textId="77777777" w:rsidTr="00076930">
        <w:tc>
          <w:tcPr>
            <w:tcW w:w="1271" w:type="dxa"/>
          </w:tcPr>
          <w:p w14:paraId="0EEE38E9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課程概述</w:t>
            </w:r>
          </w:p>
        </w:tc>
        <w:tc>
          <w:tcPr>
            <w:tcW w:w="7025" w:type="dxa"/>
          </w:tcPr>
          <w:p w14:paraId="6409F5BE" w14:textId="6D3E52AE" w:rsidR="00930C7F" w:rsidRPr="00954F4F" w:rsidRDefault="00930C7F" w:rsidP="00930C7F">
            <w:pP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本課程隸屬於美國巴克內爾大學藝術與科學學院</w:t>
            </w:r>
            <w:r w:rsidRPr="00954F4F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u w:val="single"/>
                <w:bdr w:val="none" w:sz="0" w:space="0" w:color="auto" w:frame="1"/>
              </w:rPr>
              <w:t>比較暨數位人文研究領域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，是此專業領域中的第一門基礎課程，透過介紹各種最新的研究工具與方法，帶領學生進入數位人文的世界。</w:t>
            </w:r>
          </w:p>
        </w:tc>
      </w:tr>
      <w:tr w:rsidR="00930C7F" w14:paraId="68B88229" w14:textId="77777777" w:rsidTr="00076930">
        <w:tc>
          <w:tcPr>
            <w:tcW w:w="1271" w:type="dxa"/>
          </w:tcPr>
          <w:p w14:paraId="511C9CC2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教學目標</w:t>
            </w:r>
          </w:p>
        </w:tc>
        <w:tc>
          <w:tcPr>
            <w:tcW w:w="7025" w:type="dxa"/>
          </w:tcPr>
          <w:p w14:paraId="35A5706F" w14:textId="77777777" w:rsidR="00930C7F" w:rsidRDefault="00930C7F" w:rsidP="00930C7F">
            <w:pPr>
              <w:pStyle w:val="a6"/>
              <w:numPr>
                <w:ilvl w:val="0"/>
                <w:numId w:val="3"/>
              </w:numPr>
              <w:ind w:leftChars="0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完成此</w:t>
            </w:r>
            <w:r w:rsidRPr="00D12B64"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專業領域一系列課程之</w:t>
            </w:r>
            <w:r w:rsidRPr="00D12B64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學生將能夠從歷史、文化、形式各個層面上，評估且比較彼此之間的差異</w:t>
            </w:r>
          </w:p>
          <w:p w14:paraId="3EC2B291" w14:textId="77777777" w:rsidR="00930C7F" w:rsidRDefault="00930C7F" w:rsidP="00930C7F">
            <w:pPr>
              <w:pStyle w:val="a6"/>
              <w:numPr>
                <w:ilvl w:val="0"/>
                <w:numId w:val="3"/>
              </w:numPr>
              <w:ind w:leftChars="0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以批判性思考比較各種事物與知識</w:t>
            </w:r>
          </w:p>
          <w:p w14:paraId="4E65130E" w14:textId="77777777" w:rsidR="00930C7F" w:rsidRDefault="00930C7F" w:rsidP="00930C7F">
            <w:pPr>
              <w:pStyle w:val="a6"/>
              <w:numPr>
                <w:ilvl w:val="0"/>
                <w:numId w:val="3"/>
              </w:numPr>
              <w:ind w:leftChars="0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對數位人文學科中，文化、社會、倫理與理論上的爭論有所了解</w:t>
            </w:r>
          </w:p>
          <w:p w14:paraId="51B6B131" w14:textId="6971D0D3" w:rsidR="00930C7F" w:rsidRPr="00D12B64" w:rsidRDefault="00930C7F" w:rsidP="00930C7F">
            <w:pPr>
              <w:pStyle w:val="a6"/>
              <w:numPr>
                <w:ilvl w:val="0"/>
                <w:numId w:val="3"/>
              </w:numPr>
              <w:ind w:leftChars="0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以數位形式熟練呈現口語表達與分析的能力；以及熟練掌握第二語言。</w:t>
            </w:r>
          </w:p>
        </w:tc>
      </w:tr>
      <w:tr w:rsidR="00930C7F" w14:paraId="30E68E56" w14:textId="77777777" w:rsidTr="00076930">
        <w:tc>
          <w:tcPr>
            <w:tcW w:w="1271" w:type="dxa"/>
          </w:tcPr>
          <w:p w14:paraId="0966452D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應用數位工具</w:t>
            </w:r>
          </w:p>
        </w:tc>
        <w:tc>
          <w:tcPr>
            <w:tcW w:w="7025" w:type="dxa"/>
          </w:tcPr>
          <w:p w14:paraId="40E890BE" w14:textId="5A6C0D14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ArcGIS Online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35059CDF" w14:textId="77777777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Google Fusion Tables</w:t>
            </w:r>
          </w:p>
          <w:p w14:paraId="335FD44E" w14:textId="74438BF5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Google spreadsheets </w:t>
            </w:r>
          </w:p>
          <w:p w14:paraId="7E607E23" w14:textId="7F1A05F1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Image viewer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 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影像瀏覽器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56D401B2" w14:textId="77777777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Juxta Editions</w:t>
            </w:r>
          </w:p>
          <w:p w14:paraId="1E51E29B" w14:textId="087C1CF6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Oxygen XML text editor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Oxygen XML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文字編輯器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466F1F16" w14:textId="216FE6EB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Omeka/Neatline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30087379" w14:textId="530FCF31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Palladio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4F42B2B0" w14:textId="7E10AD91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StoryMapJS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4CCDD996" w14:textId="05CE4ABD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Text editor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文字編輯器，比如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w</w:t>
            </w:r>
            <w:r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ordpad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10212C8E" w14:textId="204C65D7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Timeline.js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63B70DFD" w14:textId="43CE8732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TimeMapper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00A08AEA" w14:textId="061B6454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Voyant Tool Suite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  <w:p w14:paraId="33788080" w14:textId="52B0C06A" w:rsidR="00930C7F" w:rsidRPr="00D13E3D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3E3D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 xml:space="preserve">WordPress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(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網頁版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)</w:t>
            </w:r>
          </w:p>
        </w:tc>
      </w:tr>
      <w:tr w:rsidR="00930C7F" w14:paraId="60BFED85" w14:textId="77777777" w:rsidTr="00076930">
        <w:tc>
          <w:tcPr>
            <w:tcW w:w="1271" w:type="dxa"/>
          </w:tcPr>
          <w:p w14:paraId="17EF38EF" w14:textId="77777777" w:rsidR="00930C7F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教學進度</w:t>
            </w:r>
          </w:p>
        </w:tc>
        <w:tc>
          <w:tcPr>
            <w:tcW w:w="7025" w:type="dxa"/>
          </w:tcPr>
          <w:p w14:paraId="2568523F" w14:textId="2338EF24" w:rsidR="00930C7F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課程內容主要教授六個主要的項目：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 w:rsidRPr="00D12B6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1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數位文本的檔案研究與創作、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2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遠讀、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3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情境研究、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4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細讀、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5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群體傳記學以及時間、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（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6</w:t>
            </w:r>
            <w:r>
              <w:rPr>
                <w:rFonts w:ascii="新細明體" w:eastAsia="新細明體" w:hAnsi="新細明體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）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空間與地點的視覺化</w:t>
            </w:r>
          </w:p>
          <w:p w14:paraId="4F67EB6F" w14:textId="699950C8" w:rsidR="00930C7F" w:rsidRPr="00EE4210" w:rsidRDefault="00930C7F" w:rsidP="00930C7F">
            <w:pPr>
              <w:widowControl/>
              <w:spacing w:before="100" w:beforeAutospacing="1" w:after="100" w:afterAutospacing="1"/>
              <w:contextualSpacing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並最終將課程所學運用至期末報告中。</w:t>
            </w:r>
          </w:p>
        </w:tc>
      </w:tr>
      <w:tr w:rsidR="00930C7F" w:rsidRPr="00D12B64" w14:paraId="60CC1519" w14:textId="77777777" w:rsidTr="00076930">
        <w:tc>
          <w:tcPr>
            <w:tcW w:w="1271" w:type="dxa"/>
          </w:tcPr>
          <w:p w14:paraId="3E07EC3F" w14:textId="77777777" w:rsidR="00930C7F" w:rsidRPr="0060103B" w:rsidRDefault="00930C7F" w:rsidP="00930C7F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60103B">
              <w:rPr>
                <w:rFonts w:ascii="標楷體" w:eastAsia="標楷體" w:hAnsi="標楷體" w:hint="eastAsia"/>
              </w:rPr>
              <w:t>主要閱讀</w:t>
            </w:r>
            <w:r>
              <w:rPr>
                <w:rFonts w:ascii="標楷體" w:eastAsia="標楷體" w:hAnsi="標楷體" w:hint="eastAsia"/>
              </w:rPr>
              <w:t>教材</w:t>
            </w:r>
          </w:p>
        </w:tc>
        <w:tc>
          <w:tcPr>
            <w:tcW w:w="7025" w:type="dxa"/>
          </w:tcPr>
          <w:p w14:paraId="46E01D64" w14:textId="77777777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hyperlink r:id="rId8" w:history="1">
              <w:r w:rsidRPr="00D12B64">
                <w:rPr>
                  <w:rStyle w:val="a4"/>
                  <w:rFonts w:ascii="Times New Roman" w:hAnsi="Times New Roman" w:cs="Times New Roman"/>
                </w:rPr>
                <w:t>Moravian Lives – Tracing the Movements and History of Members of the Moravian Church (1750-2012) (bucknell.edu)</w:t>
              </w:r>
            </w:hyperlink>
          </w:p>
          <w:p w14:paraId="4C9177E3" w14:textId="463A4ACA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hyperlink r:id="rId9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 xml:space="preserve">Yorkshire Families A-L 18th </w:t>
              </w:r>
              <w:r w:rsidRPr="00D12B64">
                <w:rPr>
                  <w:rStyle w:val="a4"/>
                  <w:rFonts w:ascii="Times New Roman" w:hAnsi="Times New Roman" w:cs="Times New Roman"/>
                  <w:color w:val="auto"/>
                  <w:sz w:val="27"/>
                  <w:szCs w:val="27"/>
                  <w:u w:val="none"/>
                  <w:shd w:val="clear" w:color="auto" w:fill="FFFFFF"/>
                </w:rPr>
                <w:t xml:space="preserve">Centuries </w:t>
              </w:r>
            </w:hyperlink>
            <w:r w:rsidRPr="00D12B64">
              <w:rPr>
                <w:rFonts w:ascii="Times New Roman" w:hAnsi="Times New Roman" w:cs="Times New Roman"/>
              </w:rPr>
              <w:t>(</w:t>
            </w:r>
            <w:hyperlink r:id="rId10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http://humn10001fa2018.courses.bucknell.edu/files/Faull/Yorkshire-Families-A-L-18th-c.pdf</w:t>
              </w:r>
            </w:hyperlink>
            <w:r w:rsidRPr="00D12B64">
              <w:rPr>
                <w:rFonts w:ascii="Times New Roman" w:hAnsi="Times New Roman" w:cs="Times New Roman"/>
              </w:rPr>
              <w:t xml:space="preserve">) </w:t>
            </w:r>
          </w:p>
          <w:p w14:paraId="0B3BD848" w14:textId="5A4A40DD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hyperlink r:id="rId11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 xml:space="preserve">Yorkshire Families M-Z 18th Centuries </w:t>
              </w:r>
            </w:hyperlink>
            <w:r w:rsidRPr="00D12B64">
              <w:rPr>
                <w:rFonts w:ascii="Times New Roman" w:hAnsi="Times New Roman" w:cs="Times New Roman"/>
              </w:rPr>
              <w:t>(</w:t>
            </w:r>
            <w:hyperlink r:id="rId12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http://humn10001fa2018.courses.bucknell.edu/files/Faull/Yorkshire-Families-M-Z-18th-c.pdf</w:t>
              </w:r>
            </w:hyperlink>
            <w:r w:rsidRPr="00D12B64">
              <w:rPr>
                <w:rFonts w:ascii="Times New Roman" w:hAnsi="Times New Roman" w:cs="Times New Roman"/>
              </w:rPr>
              <w:t xml:space="preserve"> )</w:t>
            </w:r>
          </w:p>
          <w:p w14:paraId="7005C567" w14:textId="77777777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hyperlink r:id="rId13" w:tgtFrame="_blank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>A History of the Church Known as the Moravian Church, or The Unitas Fratrum, or The Unity of the Brethren, during the Eighteenth and Nineteenth Centuries</w:t>
              </w:r>
            </w:hyperlink>
            <w:r w:rsidRPr="00D12B64">
              <w:rPr>
                <w:rFonts w:ascii="Times New Roman" w:hAnsi="Times New Roman" w:cs="Times New Roman"/>
              </w:rPr>
              <w:t>(</w:t>
            </w:r>
            <w:hyperlink r:id="rId14" w:history="1">
              <w:r w:rsidRPr="00D12B64">
                <w:rPr>
                  <w:rStyle w:val="a4"/>
                  <w:rFonts w:ascii="Times New Roman" w:hAnsi="Times New Roman" w:cs="Times New Roman"/>
                </w:rPr>
                <w:t>https://archive.org/details/jstor-41179615</w:t>
              </w:r>
            </w:hyperlink>
            <w:r w:rsidRPr="00D12B64">
              <w:rPr>
                <w:rFonts w:ascii="Times New Roman" w:hAnsi="Times New Roman" w:cs="Times New Roman"/>
              </w:rPr>
              <w:t>)</w:t>
            </w:r>
          </w:p>
          <w:p w14:paraId="1F1FFAD3" w14:textId="4554093D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hyperlink r:id="rId15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>Bodenhamer</w:t>
              </w:r>
            </w:hyperlink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, David J. “The Potential of Spatial Humanities.” The Spatial Humanities: GIS and the Future of Humanities Scholarship. Indiana U P, Bloomington &amp; Indianapolis, IN. 2010. 14-30.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6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http://humn10001fa2018.courses.bucknell.edu/files/2016/11/bodenhamer.pdf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0AD1ED52" w14:textId="43F34B8B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Drucker, Johanna. Graphesis: “Interpreting Visualization: Visualizing Interpretation.” Visual Forms of Knowledge Production. Harvard UP, Cambridge, MA. 2014. 56-137.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7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http://www.students.bucknell.edu/projects/HUMN10001/Drucker.pdf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4931F2FC" w14:textId="4D82E9C3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Faull, Katherine, </w:t>
            </w:r>
            <w:hyperlink r:id="rId18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>“Writing a Moravian Memoir: The Intersection of History and Autobiography”</w:t>
              </w:r>
            </w:hyperlink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> </w:t>
            </w:r>
            <w:r w:rsidRPr="00D12B64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  <w:bdr w:val="none" w:sz="0" w:space="0" w:color="auto" w:frame="1"/>
              </w:rPr>
              <w:t xml:space="preserve">Moravian Memoirs: Pillars of an Invisible Church </w:t>
            </w: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(Artos, 2017), 9-34.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9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http://humn10001fa2018.courses.bucknell.edu/files/2018/08/FaullAhlbergerChapter.pdf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2B84D443" w14:textId="77777777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Grafton, Anthony and Daniel Rosenberg, Cartographies of Time (Princeton: Princeton UP, 2009) </w:t>
            </w:r>
            <w:r w:rsidRPr="00D12B64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(</w:t>
            </w:r>
            <w:hyperlink r:id="rId20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http://thehumanitiesnow.blogs.bucknell.edu/files/2014/09/Cartographies-of-Time.pdf</w:t>
              </w:r>
            </w:hyperlink>
            <w:r w:rsidRPr="00D12B64">
              <w:rPr>
                <w:rFonts w:ascii="Times New Roman" w:eastAsia="標楷體" w:hAnsi="Times New Roman" w:cs="Times New Roman"/>
                <w:kern w:val="0"/>
                <w:szCs w:val="24"/>
                <w:bdr w:val="none" w:sz="0" w:space="0" w:color="auto" w:frame="1"/>
              </w:rPr>
              <w:t>)</w:t>
            </w:r>
          </w:p>
          <w:p w14:paraId="7F4417F1" w14:textId="324EC757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Jockers, Matthew L. Macroanalysis: “Metadata.” Digital Methods and Literary History. U Illinois Press. Chicago, IL 2013. 35-62.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21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http://www.students.bucknell.edu/projects/HUMN10001/jockers.pdf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64B75C5A" w14:textId="134224DB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Anne Kelly Knowles, “A More Humane Approach to Digital Scholarship”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22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http://parameters.ssrc.org/2016/08/a-more-humane-approach-to-digital-scholarship/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5C69F8A7" w14:textId="0A5DA26A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lastRenderedPageBreak/>
              <w:t xml:space="preserve">Elena </w:t>
            </w:r>
            <w:hyperlink r:id="rId23" w:history="1">
              <w:r w:rsidRPr="00D12B64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bdr w:val="none" w:sz="0" w:space="0" w:color="auto" w:frame="1"/>
                </w:rPr>
                <w:t>Pierazzo</w:t>
              </w:r>
            </w:hyperlink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, “A Rationale of Digital Documentary Editions” in </w:t>
            </w:r>
            <w:r w:rsidRPr="00D12B64">
              <w:rPr>
                <w:rFonts w:ascii="Times New Roman" w:eastAsia="標楷體" w:hAnsi="Times New Roman" w:cs="Times New Roman"/>
                <w:i/>
                <w:iCs/>
                <w:kern w:val="0"/>
                <w:szCs w:val="24"/>
                <w:bdr w:val="none" w:sz="0" w:space="0" w:color="auto" w:frame="1"/>
              </w:rPr>
              <w:t>Literary and Linguistic Computing</w:t>
            </w: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, Vol. 26, No. 4, 2011. 463-477.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24" w:history="1">
              <w:r w:rsidRPr="00D12B64">
                <w:rPr>
                  <w:rStyle w:val="a4"/>
                  <w:rFonts w:ascii="Times New Roman" w:hAnsi="Times New Roman" w:cs="Times New Roman"/>
                </w:rPr>
                <w:t>http://thehumanitiesnow.blogs.bucknell.edu/files/2014/08/Pierazzo.pdf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)</w:t>
            </w:r>
          </w:p>
          <w:p w14:paraId="50FEFA10" w14:textId="452C6DD0" w:rsidR="00930C7F" w:rsidRPr="00D12B64" w:rsidRDefault="00930C7F" w:rsidP="00930C7F">
            <w:pPr>
              <w:pStyle w:val="a6"/>
              <w:widowControl/>
              <w:numPr>
                <w:ilvl w:val="0"/>
                <w:numId w:val="2"/>
              </w:numPr>
              <w:spacing w:beforeAutospacing="1" w:afterAutospacing="1"/>
              <w:ind w:leftChars="0"/>
              <w:textAlignment w:val="baseline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  <w:bdr w:val="none" w:sz="0" w:space="0" w:color="auto" w:frame="1"/>
                <w:lang w:val="de-DE"/>
              </w:rPr>
            </w:pP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  <w:t xml:space="preserve">Whitley, Edward. “Visualizing the Archive.” The American Literature Scholar in the Digital Age. Amy E. Earhart and Andrew Jewell, eds. U Michigan Press. </w:t>
            </w:r>
            <w:r w:rsidRPr="00D12B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  <w:lang w:val="de-DE"/>
              </w:rPr>
              <w:t xml:space="preserve">Ann Arbor, MI.2011. 185-205. </w:t>
            </w:r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de-DE"/>
              </w:rPr>
              <w:t>(</w:t>
            </w:r>
            <w:hyperlink r:id="rId25" w:history="1">
              <w:r w:rsidRPr="00D12B64">
                <w:rPr>
                  <w:rStyle w:val="a4"/>
                  <w:rFonts w:ascii="Times New Roman" w:hAnsi="Times New Roman" w:cs="Times New Roman"/>
                  <w:lang w:val="de-DE"/>
                </w:rPr>
                <w:t>http://www.students.bucknell.edu/projects/HUMN10001/Whitley.pdf</w:t>
              </w:r>
            </w:hyperlink>
            <w:r w:rsidRPr="00D12B64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val="de-DE"/>
              </w:rPr>
              <w:t>)</w:t>
            </w:r>
          </w:p>
        </w:tc>
      </w:tr>
    </w:tbl>
    <w:p w14:paraId="3E56BAF7" w14:textId="77777777" w:rsidR="00A13EDA" w:rsidRPr="00076930" w:rsidRDefault="00A13EDA" w:rsidP="00A13EDA">
      <w:pPr>
        <w:rPr>
          <w:lang w:val="de-DE"/>
        </w:rPr>
      </w:pPr>
    </w:p>
    <w:sectPr w:rsidR="00A13EDA" w:rsidRPr="000769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6991A" w14:textId="77777777" w:rsidR="00471848" w:rsidRDefault="00471848" w:rsidP="00930C7F">
      <w:r>
        <w:separator/>
      </w:r>
    </w:p>
  </w:endnote>
  <w:endnote w:type="continuationSeparator" w:id="0">
    <w:p w14:paraId="6777E2B3" w14:textId="77777777" w:rsidR="00471848" w:rsidRDefault="00471848" w:rsidP="0093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3455" w14:textId="77777777" w:rsidR="00471848" w:rsidRDefault="00471848" w:rsidP="00930C7F">
      <w:r>
        <w:separator/>
      </w:r>
    </w:p>
  </w:footnote>
  <w:footnote w:type="continuationSeparator" w:id="0">
    <w:p w14:paraId="1717D17A" w14:textId="77777777" w:rsidR="00471848" w:rsidRDefault="00471848" w:rsidP="00930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BB2"/>
    <w:multiLevelType w:val="hybridMultilevel"/>
    <w:tmpl w:val="AF5CF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376DF1"/>
    <w:multiLevelType w:val="multilevel"/>
    <w:tmpl w:val="2BE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4125E"/>
    <w:multiLevelType w:val="hybridMultilevel"/>
    <w:tmpl w:val="4554289A"/>
    <w:lvl w:ilvl="0" w:tplc="19B6DFA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DA"/>
    <w:rsid w:val="00040E02"/>
    <w:rsid w:val="00076930"/>
    <w:rsid w:val="0010074C"/>
    <w:rsid w:val="0016214C"/>
    <w:rsid w:val="00175673"/>
    <w:rsid w:val="00341A56"/>
    <w:rsid w:val="00471848"/>
    <w:rsid w:val="00535A80"/>
    <w:rsid w:val="005F6DD1"/>
    <w:rsid w:val="006516B4"/>
    <w:rsid w:val="0069521F"/>
    <w:rsid w:val="007021D0"/>
    <w:rsid w:val="00714CE3"/>
    <w:rsid w:val="00770D05"/>
    <w:rsid w:val="00917741"/>
    <w:rsid w:val="00930C7F"/>
    <w:rsid w:val="00954F4F"/>
    <w:rsid w:val="00984238"/>
    <w:rsid w:val="00A12F42"/>
    <w:rsid w:val="00A13EDA"/>
    <w:rsid w:val="00B12EF4"/>
    <w:rsid w:val="00B44D1F"/>
    <w:rsid w:val="00B5153D"/>
    <w:rsid w:val="00B607F4"/>
    <w:rsid w:val="00C04278"/>
    <w:rsid w:val="00C10B43"/>
    <w:rsid w:val="00C668CA"/>
    <w:rsid w:val="00D12B64"/>
    <w:rsid w:val="00D13E3D"/>
    <w:rsid w:val="00DD6174"/>
    <w:rsid w:val="00E009CE"/>
    <w:rsid w:val="00EE4210"/>
    <w:rsid w:val="00FD2A5D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F9C03"/>
  <w15:chartTrackingRefBased/>
  <w15:docId w15:val="{B5C2DDDD-434D-4233-82DF-9081D85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3ED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16214C"/>
    <w:rPr>
      <w:b/>
      <w:bCs/>
    </w:rPr>
  </w:style>
  <w:style w:type="paragraph" w:styleId="a6">
    <w:name w:val="List Paragraph"/>
    <w:basedOn w:val="a"/>
    <w:uiPriority w:val="34"/>
    <w:qFormat/>
    <w:rsid w:val="00714CE3"/>
    <w:pPr>
      <w:ind w:leftChars="200" w:left="480"/>
    </w:pPr>
  </w:style>
  <w:style w:type="character" w:styleId="a7">
    <w:name w:val="Unresolved Mention"/>
    <w:basedOn w:val="a0"/>
    <w:uiPriority w:val="99"/>
    <w:semiHidden/>
    <w:unhideWhenUsed/>
    <w:rsid w:val="0007693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76930"/>
    <w:rPr>
      <w:color w:val="800080" w:themeColor="followedHyperlink"/>
      <w:u w:val="single"/>
    </w:rPr>
  </w:style>
  <w:style w:type="character" w:styleId="a9">
    <w:name w:val="Emphasis"/>
    <w:basedOn w:val="a0"/>
    <w:uiPriority w:val="20"/>
    <w:qFormat/>
    <w:rsid w:val="00076930"/>
    <w:rPr>
      <w:i/>
      <w:iCs/>
    </w:rPr>
  </w:style>
  <w:style w:type="paragraph" w:styleId="aa">
    <w:name w:val="header"/>
    <w:basedOn w:val="a"/>
    <w:link w:val="ab"/>
    <w:uiPriority w:val="99"/>
    <w:unhideWhenUsed/>
    <w:rsid w:val="009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30C7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30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30C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avian.bucknell.edu/" TargetMode="External"/><Relationship Id="rId13" Type="http://schemas.openxmlformats.org/officeDocument/2006/relationships/hyperlink" Target="https://archive.org/details/jstor-41179615" TargetMode="External"/><Relationship Id="rId18" Type="http://schemas.openxmlformats.org/officeDocument/2006/relationships/hyperlink" Target="http://humn10001fa2018.courses.bucknell.edu/files/2018/08/FaullAhlbergerChapter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tudents.bucknell.edu/projects/HUMN10001/jockers.pdf" TargetMode="External"/><Relationship Id="rId7" Type="http://schemas.openxmlformats.org/officeDocument/2006/relationships/hyperlink" Target="http://humn10001fa2018.courses.bucknell.edu/" TargetMode="External"/><Relationship Id="rId12" Type="http://schemas.openxmlformats.org/officeDocument/2006/relationships/hyperlink" Target="http://humn10001fa2018.courses.bucknell.edu/files/Faull/Yorkshire-Families-M-Z-18th-c.pdf" TargetMode="External"/><Relationship Id="rId17" Type="http://schemas.openxmlformats.org/officeDocument/2006/relationships/hyperlink" Target="http://www.students.bucknell.edu/projects/HUMN10001/Drucker.pdf" TargetMode="External"/><Relationship Id="rId25" Type="http://schemas.openxmlformats.org/officeDocument/2006/relationships/hyperlink" Target="http://www.students.bucknell.edu/projects/HUMN10001/Whitley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humn10001fa2018.courses.bucknell.edu/files/2016/11/bodenhamer.pdf" TargetMode="External"/><Relationship Id="rId20" Type="http://schemas.openxmlformats.org/officeDocument/2006/relationships/hyperlink" Target="http://thehumanitiesnow.blogs.bucknell.edu/files/2014/09/Cartographies-of-Tim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mn10001fa2018.courses.bucknell.edu/files/Faull/Yorkshire-Families-M-Z-18th-c.pdf" TargetMode="External"/><Relationship Id="rId24" Type="http://schemas.openxmlformats.org/officeDocument/2006/relationships/hyperlink" Target="http://thehumanitiesnow.blogs.bucknell.edu/files/2014/08/Pierazzo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umn10001fa2018.courses.bucknell.edu/files/2016/11/bodenhamer.pdf" TargetMode="External"/><Relationship Id="rId23" Type="http://schemas.openxmlformats.org/officeDocument/2006/relationships/hyperlink" Target="http://thehumanitiesnow.blogs.bucknell.edu/files/2014/08/Pierazzo.pdf" TargetMode="External"/><Relationship Id="rId10" Type="http://schemas.openxmlformats.org/officeDocument/2006/relationships/hyperlink" Target="http://humn10001fa2018.courses.bucknell.edu/files/Faull/Yorkshire-Families-A-L-18th-c.pdf" TargetMode="External"/><Relationship Id="rId19" Type="http://schemas.openxmlformats.org/officeDocument/2006/relationships/hyperlink" Target="http://humn10001fa2018.courses.bucknell.edu/files/2018/08/FaullAhlbergerChapt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mn10001fa2018.courses.bucknell.edu/files/Faull/Yorkshire-Families-A-L-18th-c.pdf" TargetMode="External"/><Relationship Id="rId14" Type="http://schemas.openxmlformats.org/officeDocument/2006/relationships/hyperlink" Target="https://archive.org/details/jstor-41179615" TargetMode="External"/><Relationship Id="rId22" Type="http://schemas.openxmlformats.org/officeDocument/2006/relationships/hyperlink" Target="http://parameters.ssrc.org/2016/08/a-more-humane-approach-to-digital-scholarshi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2022-05-08T03:48:00Z</dcterms:created>
  <dcterms:modified xsi:type="dcterms:W3CDTF">2022-05-26T08:29:00Z</dcterms:modified>
</cp:coreProperties>
</file>