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1E59" w14:textId="77777777" w:rsidR="0096755B" w:rsidRDefault="0096755B" w:rsidP="0096755B"/>
    <w:tbl>
      <w:tblPr>
        <w:tblStyle w:val="a3"/>
        <w:tblW w:w="8708" w:type="dxa"/>
        <w:tblLayout w:type="fixed"/>
        <w:tblLook w:val="04A0" w:firstRow="1" w:lastRow="0" w:firstColumn="1" w:lastColumn="0" w:noHBand="0" w:noVBand="1"/>
      </w:tblPr>
      <w:tblGrid>
        <w:gridCol w:w="1668"/>
        <w:gridCol w:w="7040"/>
      </w:tblGrid>
      <w:tr w:rsidR="0096755B" w14:paraId="6AA1B993" w14:textId="77777777" w:rsidTr="0037502A">
        <w:tc>
          <w:tcPr>
            <w:tcW w:w="1668" w:type="dxa"/>
          </w:tcPr>
          <w:p w14:paraId="56951353" w14:textId="77777777" w:rsidR="0096755B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課程名稱</w:t>
            </w:r>
          </w:p>
        </w:tc>
        <w:tc>
          <w:tcPr>
            <w:tcW w:w="7040" w:type="dxa"/>
          </w:tcPr>
          <w:p w14:paraId="30132C92" w14:textId="77777777" w:rsidR="0096755B" w:rsidRPr="00F07AB3" w:rsidRDefault="0096755B" w:rsidP="0037502A">
            <w:pPr>
              <w:rPr>
                <w:rFonts w:ascii="標楷體" w:eastAsia="標楷體" w:hAnsi="標楷體"/>
              </w:rPr>
            </w:pPr>
            <w:r w:rsidRPr="00F07AB3">
              <w:rPr>
                <w:rFonts w:ascii="標楷體" w:eastAsia="標楷體" w:hAnsi="標楷體" w:hint="eastAsia"/>
              </w:rPr>
              <w:t>數位人文</w:t>
            </w:r>
            <w:r w:rsidRPr="002F71A1">
              <w:rPr>
                <w:rFonts w:ascii="Times New Roman" w:eastAsia="標楷體" w:hAnsi="Times New Roman" w:cs="Times New Roman"/>
              </w:rPr>
              <w:t>101</w:t>
            </w:r>
          </w:p>
        </w:tc>
      </w:tr>
      <w:tr w:rsidR="0096755B" w14:paraId="0063DD4C" w14:textId="77777777" w:rsidTr="0037502A">
        <w:tc>
          <w:tcPr>
            <w:tcW w:w="1668" w:type="dxa"/>
          </w:tcPr>
          <w:p w14:paraId="595922C1" w14:textId="77777777" w:rsidR="0096755B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課程連結</w:t>
            </w:r>
          </w:p>
        </w:tc>
        <w:tc>
          <w:tcPr>
            <w:tcW w:w="7040" w:type="dxa"/>
          </w:tcPr>
          <w:p w14:paraId="4B972499" w14:textId="77777777" w:rsidR="0096755B" w:rsidRPr="00275539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bdr w:val="none" w:sz="0" w:space="0" w:color="auto" w:frame="1"/>
              </w:rPr>
            </w:pPr>
            <w:hyperlink r:id="rId7" w:history="1">
              <w:r w:rsidRPr="00275539">
                <w:rPr>
                  <w:rStyle w:val="a4"/>
                  <w:rFonts w:ascii="Times New Roman" w:hAnsi="Times New Roman" w:cs="Times New Roman"/>
                </w:rPr>
                <w:t>http://miriamposner.com/classes/dh101f17/</w:t>
              </w:r>
            </w:hyperlink>
            <w:r w:rsidRPr="00275539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，</w:t>
            </w:r>
            <w:r w:rsidRPr="00B24DFA">
              <w:rPr>
                <w:rFonts w:ascii="標楷體" w:eastAsia="標楷體" w:hAnsi="標楷體"/>
              </w:rPr>
              <w:t>由</w:t>
            </w:r>
            <w:r w:rsidRPr="00B24DFA">
              <w:rPr>
                <w:rFonts w:ascii="標楷體" w:eastAsia="標楷體" w:hAnsi="標楷體"/>
                <w:u w:val="single"/>
              </w:rPr>
              <w:t>余欣薏</w:t>
            </w:r>
            <w:r w:rsidRPr="00B24DFA">
              <w:rPr>
                <w:rFonts w:ascii="標楷體" w:eastAsia="標楷體" w:hAnsi="標楷體"/>
              </w:rPr>
              <w:t>統整後撰文</w:t>
            </w:r>
          </w:p>
        </w:tc>
      </w:tr>
      <w:tr w:rsidR="0096755B" w14:paraId="1804C826" w14:textId="77777777" w:rsidTr="0037502A">
        <w:tc>
          <w:tcPr>
            <w:tcW w:w="1668" w:type="dxa"/>
          </w:tcPr>
          <w:p w14:paraId="122D6CAD" w14:textId="77777777" w:rsidR="0096755B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授課老師</w:t>
            </w:r>
          </w:p>
        </w:tc>
        <w:tc>
          <w:tcPr>
            <w:tcW w:w="7040" w:type="dxa"/>
          </w:tcPr>
          <w:p w14:paraId="73AEE7F0" w14:textId="77777777" w:rsidR="0096755B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F07AB3"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  <w:t>Miriam Posner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 xml:space="preserve"> </w:t>
            </w: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教授</w:t>
            </w:r>
          </w:p>
        </w:tc>
      </w:tr>
      <w:tr w:rsidR="0096755B" w14:paraId="5FF8A701" w14:textId="77777777" w:rsidTr="0037502A">
        <w:tc>
          <w:tcPr>
            <w:tcW w:w="1668" w:type="dxa"/>
          </w:tcPr>
          <w:p w14:paraId="0A7F1D52" w14:textId="77777777" w:rsidR="0096755B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課程概述</w:t>
            </w:r>
          </w:p>
        </w:tc>
        <w:tc>
          <w:tcPr>
            <w:tcW w:w="7040" w:type="dxa"/>
          </w:tcPr>
          <w:p w14:paraId="49947927" w14:textId="77777777" w:rsidR="0096755B" w:rsidRPr="00D63390" w:rsidRDefault="0096755B" w:rsidP="003750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r w:rsidRPr="00090BD7">
              <w:rPr>
                <w:rFonts w:ascii="標楷體" w:eastAsia="標楷體" w:hAnsi="標楷體" w:hint="eastAsia"/>
              </w:rPr>
              <w:t>課程</w:t>
            </w:r>
            <w:r>
              <w:rPr>
                <w:rFonts w:ascii="標楷體" w:eastAsia="標楷體" w:hAnsi="標楷體" w:hint="eastAsia"/>
              </w:rPr>
              <w:t>由</w:t>
            </w:r>
            <w:r w:rsidRPr="00090BD7">
              <w:rPr>
                <w:rFonts w:ascii="標楷體" w:eastAsia="標楷體" w:hAnsi="標楷體" w:hint="eastAsia"/>
              </w:rPr>
              <w:t>數</w:t>
            </w:r>
            <w:r>
              <w:rPr>
                <w:rFonts w:ascii="標楷體" w:eastAsia="標楷體" w:hAnsi="標楷體" w:hint="eastAsia"/>
              </w:rPr>
              <w:t>位人</w:t>
            </w:r>
            <w:r w:rsidRPr="00090BD7">
              <w:rPr>
                <w:rFonts w:ascii="標楷體" w:eastAsia="標楷體" w:hAnsi="標楷體" w:hint="eastAsia"/>
              </w:rPr>
              <w:t>文的</w:t>
            </w:r>
            <w:r>
              <w:rPr>
                <w:rFonts w:ascii="標楷體" w:eastAsia="標楷體" w:hAnsi="標楷體" w:hint="eastAsia"/>
              </w:rPr>
              <w:t>「基礎」</w:t>
            </w:r>
            <w:r w:rsidRPr="00090BD7">
              <w:rPr>
                <w:rFonts w:ascii="標楷體" w:eastAsia="標楷體" w:hAnsi="標楷體" w:hint="eastAsia"/>
              </w:rPr>
              <w:t>開始，</w:t>
            </w:r>
            <w:r>
              <w:rPr>
                <w:rFonts w:ascii="標楷體" w:eastAsia="標楷體" w:hAnsi="標楷體" w:hint="eastAsia"/>
              </w:rPr>
              <w:t>首先</w:t>
            </w:r>
            <w:r w:rsidRPr="00090BD7">
              <w:rPr>
                <w:rFonts w:ascii="標楷體" w:eastAsia="標楷體" w:hAnsi="標楷體" w:hint="eastAsia"/>
              </w:rPr>
              <w:t>調查歷史資料的來源以及</w:t>
            </w:r>
            <w:r>
              <w:rPr>
                <w:rFonts w:ascii="標楷體" w:eastAsia="標楷體" w:hAnsi="標楷體" w:hint="eastAsia"/>
              </w:rPr>
              <w:t>瞭解這些資料是</w:t>
            </w:r>
            <w:r w:rsidRPr="00090BD7">
              <w:rPr>
                <w:rFonts w:ascii="標楷體" w:eastAsia="標楷體" w:hAnsi="標楷體" w:hint="eastAsia"/>
              </w:rPr>
              <w:t>如何進入文化記錄。</w:t>
            </w:r>
            <w:r>
              <w:rPr>
                <w:rFonts w:ascii="標楷體" w:eastAsia="標楷體" w:hAnsi="標楷體" w:hint="eastAsia"/>
              </w:rPr>
              <w:t>而後會</w:t>
            </w:r>
            <w:r w:rsidRPr="00090BD7">
              <w:rPr>
                <w:rFonts w:ascii="標楷體" w:eastAsia="標楷體" w:hAnsi="標楷體" w:hint="eastAsia"/>
              </w:rPr>
              <w:t>討論</w:t>
            </w:r>
            <w:r>
              <w:rPr>
                <w:rFonts w:ascii="標楷體" w:eastAsia="標楷體" w:hAnsi="標楷體" w:hint="eastAsia"/>
              </w:rPr>
              <w:t>如何將這些資料</w:t>
            </w:r>
            <w:r w:rsidRPr="00090BD7">
              <w:rPr>
                <w:rFonts w:ascii="標楷體" w:eastAsia="標楷體" w:hAnsi="標楷體" w:hint="eastAsia"/>
              </w:rPr>
              <w:t>數</w:t>
            </w:r>
            <w:r>
              <w:rPr>
                <w:rFonts w:ascii="標楷體" w:eastAsia="標楷體" w:hAnsi="標楷體" w:hint="eastAsia"/>
              </w:rPr>
              <w:t>據化</w:t>
            </w:r>
            <w:r w:rsidRPr="00090BD7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而這些數據資料又可以做哪些變化</w:t>
            </w:r>
            <w:r w:rsidRPr="00090BD7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如視覺</w:t>
            </w:r>
            <w:r w:rsidRPr="00090BD7">
              <w:rPr>
                <w:rFonts w:ascii="標楷體" w:eastAsia="標楷體" w:hAnsi="標楷體" w:hint="eastAsia"/>
              </w:rPr>
              <w:t>化</w:t>
            </w:r>
            <w:r>
              <w:rPr>
                <w:rFonts w:ascii="標楷體" w:eastAsia="標楷體" w:hAnsi="標楷體" w:hint="eastAsia"/>
              </w:rPr>
              <w:t>或地圖測繪化</w:t>
            </w:r>
            <w:r w:rsidRPr="00090BD7">
              <w:rPr>
                <w:rFonts w:ascii="標楷體" w:eastAsia="標楷體" w:hAnsi="標楷體" w:hint="eastAsia"/>
              </w:rPr>
              <w:t>）</w:t>
            </w:r>
            <w:r>
              <w:rPr>
                <w:rFonts w:ascii="標楷體" w:eastAsia="標楷體" w:hAnsi="標楷體" w:hint="eastAsia"/>
              </w:rPr>
              <w:t>，</w:t>
            </w:r>
            <w:r w:rsidRPr="007A3B92">
              <w:rPr>
                <w:rFonts w:ascii="標楷體" w:eastAsia="標楷體" w:hAnsi="標楷體" w:hint="eastAsia"/>
              </w:rPr>
              <w:t>課程中也會讓學生</w:t>
            </w:r>
            <w:r>
              <w:rPr>
                <w:rFonts w:ascii="標楷體" w:eastAsia="標楷體" w:hAnsi="標楷體" w:hint="eastAsia"/>
              </w:rPr>
              <w:t>於</w:t>
            </w:r>
            <w:r w:rsidRPr="007A3B92">
              <w:rPr>
                <w:rFonts w:ascii="標楷體" w:eastAsia="標楷體" w:hAnsi="標楷體" w:hint="eastAsia"/>
              </w:rPr>
              <w:t>有來賓演講和其他有趣的</w:t>
            </w:r>
            <w:r>
              <w:rPr>
                <w:rFonts w:ascii="標楷體" w:eastAsia="標楷體" w:hAnsi="標楷體" w:hint="eastAsia"/>
              </w:rPr>
              <w:t>課程內容處作</w:t>
            </w:r>
            <w:r w:rsidRPr="007A3B92">
              <w:rPr>
                <w:rFonts w:ascii="標楷體" w:eastAsia="標楷體" w:hAnsi="標楷體" w:hint="eastAsia"/>
              </w:rPr>
              <w:t>停留，讓學生擁有更多時間體</w:t>
            </w:r>
            <w:r>
              <w:rPr>
                <w:rFonts w:ascii="標楷體" w:eastAsia="標楷體" w:hAnsi="標楷體" w:hint="eastAsia"/>
              </w:rPr>
              <w:t>驗</w:t>
            </w:r>
            <w:r w:rsidRPr="007A3B92">
              <w:rPr>
                <w:rFonts w:ascii="標楷體" w:eastAsia="標楷體" w:hAnsi="標楷體" w:hint="eastAsia"/>
              </w:rPr>
              <w:t>。</w:t>
            </w:r>
          </w:p>
        </w:tc>
      </w:tr>
      <w:tr w:rsidR="0096755B" w14:paraId="37280EA4" w14:textId="77777777" w:rsidTr="0037502A">
        <w:tc>
          <w:tcPr>
            <w:tcW w:w="1668" w:type="dxa"/>
          </w:tcPr>
          <w:p w14:paraId="612BC966" w14:textId="77777777" w:rsidR="0096755B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教學目標</w:t>
            </w:r>
          </w:p>
        </w:tc>
        <w:tc>
          <w:tcPr>
            <w:tcW w:w="7040" w:type="dxa"/>
          </w:tcPr>
          <w:p w14:paraId="67DA2771" w14:textId="77777777" w:rsidR="0096755B" w:rsidRPr="00AE0ABB" w:rsidRDefault="0096755B" w:rsidP="0037502A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透過使用將數據結構化的工具，讓學生擁有</w:t>
            </w:r>
            <w:r w:rsidRPr="002D7E2D">
              <w:rPr>
                <w:rFonts w:ascii="標楷體" w:eastAsia="標楷體" w:hAnsi="標楷體" w:hint="eastAsia"/>
                <w:color w:val="000000" w:themeColor="text1"/>
              </w:rPr>
              <w:t>處理結構化數據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，創造數位地圖、視覺化圖表、網路圖，創建網站並使用內容管理系統，著手進行精密的人文研究，最後對以上的</w:t>
            </w:r>
            <w:r w:rsidRPr="002D7E2D">
              <w:rPr>
                <w:rFonts w:ascii="標楷體" w:eastAsia="標楷體" w:hAnsi="標楷體" w:hint="eastAsia"/>
                <w:color w:val="000000" w:themeColor="text1"/>
              </w:rPr>
              <w:t>方法和工具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使用後所感受的</w:t>
            </w:r>
            <w:r w:rsidRPr="002D7E2D">
              <w:rPr>
                <w:rFonts w:ascii="標楷體" w:eastAsia="標楷體" w:hAnsi="標楷體" w:hint="eastAsia"/>
                <w:color w:val="000000" w:themeColor="text1"/>
              </w:rPr>
              <w:t>偏見和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用途性進行</w:t>
            </w:r>
            <w:r w:rsidRPr="002D7E2D">
              <w:rPr>
                <w:rFonts w:ascii="標楷體" w:eastAsia="標楷體" w:hAnsi="標楷體" w:hint="eastAsia"/>
                <w:color w:val="000000" w:themeColor="text1"/>
              </w:rPr>
              <w:t>發表、思考和批判性寫作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</w:tc>
      </w:tr>
      <w:tr w:rsidR="0096755B" w14:paraId="33C3FCA4" w14:textId="77777777" w:rsidTr="0037502A">
        <w:tc>
          <w:tcPr>
            <w:tcW w:w="1668" w:type="dxa"/>
          </w:tcPr>
          <w:p w14:paraId="16C67555" w14:textId="77777777" w:rsidR="0096755B" w:rsidRPr="00DC4DD4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標楷體" w:eastAsia="標楷體" w:hAnsi="標楷體"/>
                <w:color w:val="000000" w:themeColor="text1"/>
              </w:rPr>
            </w:pPr>
            <w:r w:rsidRPr="00DC4DD4">
              <w:rPr>
                <w:rFonts w:ascii="標楷體" w:eastAsia="標楷體" w:hAnsi="標楷體" w:hint="eastAsia"/>
                <w:color w:val="000000" w:themeColor="text1"/>
              </w:rPr>
              <w:t>應用數位工具</w:t>
            </w:r>
          </w:p>
        </w:tc>
        <w:tc>
          <w:tcPr>
            <w:tcW w:w="7040" w:type="dxa"/>
          </w:tcPr>
          <w:p w14:paraId="569009DB" w14:textId="77777777" w:rsidR="0096755B" w:rsidRPr="00453D9E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標楷體" w:eastAsia="標楷體" w:hAnsi="標楷體"/>
                <w:color w:val="000000" w:themeColor="text1"/>
              </w:rPr>
            </w:pPr>
            <w:r w:rsidRPr="00453D9E">
              <w:rPr>
                <w:rFonts w:ascii="標楷體" w:eastAsia="標楷體" w:hAnsi="標楷體" w:hint="eastAsia"/>
                <w:color w:val="000000" w:themeColor="text1"/>
              </w:rPr>
              <w:t>整理素材的工具：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OpenRefine</w:t>
            </w:r>
          </w:p>
          <w:p w14:paraId="6ED6F770" w14:textId="77777777" w:rsidR="0096755B" w:rsidRPr="00C54508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C4DD4">
              <w:rPr>
                <w:rFonts w:ascii="標楷體" w:eastAsia="標楷體" w:hAnsi="標楷體" w:hint="eastAsia"/>
                <w:color w:val="000000" w:themeColor="text1"/>
              </w:rPr>
              <w:t>數據資料視覺化的工具：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Google Fusion Tables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Tableau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RAW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Quadrigram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DataWrapper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Palladio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ImagePlot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Javascript</w:t>
            </w:r>
          </w:p>
          <w:p w14:paraId="47DF7E92" w14:textId="77777777" w:rsidR="0096755B" w:rsidRPr="00DC4DD4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標楷體" w:eastAsia="標楷體" w:hAnsi="標楷體"/>
                <w:color w:val="000000" w:themeColor="text1"/>
              </w:rPr>
            </w:pPr>
            <w:r w:rsidRPr="00DC4DD4">
              <w:rPr>
                <w:rFonts w:ascii="標楷體" w:eastAsia="標楷體" w:hAnsi="標楷體" w:hint="eastAsia"/>
                <w:color w:val="000000" w:themeColor="text1"/>
              </w:rPr>
              <w:t>數據資料地圖測繪化的工具：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Carto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UCLA Geography Geocoder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Batch geocoder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Google Fusion Tables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Palladio</w:t>
            </w:r>
          </w:p>
          <w:p w14:paraId="64077CAE" w14:textId="77777777" w:rsidR="0096755B" w:rsidRPr="00C54508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C4DD4">
              <w:rPr>
                <w:rFonts w:ascii="標楷體" w:eastAsia="標楷體" w:hAnsi="標楷體" w:hint="eastAsia"/>
                <w:color w:val="000000" w:themeColor="text1"/>
              </w:rPr>
              <w:t>建置網頁的工具：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WordPress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HTML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CSS</w:t>
            </w:r>
          </w:p>
          <w:p w14:paraId="0E4710A8" w14:textId="77777777" w:rsidR="0096755B" w:rsidRPr="00DC4DD4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標楷體" w:eastAsia="標楷體" w:hAnsi="標楷體"/>
                <w:color w:val="000000" w:themeColor="text1"/>
              </w:rPr>
            </w:pPr>
            <w:r w:rsidRPr="00DC4DD4">
              <w:rPr>
                <w:rFonts w:ascii="標楷體" w:eastAsia="標楷體" w:hAnsi="標楷體" w:hint="eastAsia"/>
                <w:color w:val="000000" w:themeColor="text1"/>
              </w:rPr>
              <w:t>建置網路分析圖的工具：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Cytoscape</w:t>
            </w:r>
          </w:p>
          <w:p w14:paraId="5756B0A8" w14:textId="77777777" w:rsidR="0096755B" w:rsidRPr="00DC4DD4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標楷體" w:eastAsia="標楷體" w:hAnsi="標楷體"/>
                <w:color w:val="000000" w:themeColor="text1"/>
              </w:rPr>
            </w:pPr>
            <w:r w:rsidRPr="00DC4DD4">
              <w:rPr>
                <w:rFonts w:ascii="標楷體" w:eastAsia="標楷體" w:hAnsi="標楷體" w:hint="eastAsia"/>
                <w:color w:val="000000" w:themeColor="text1"/>
              </w:rPr>
              <w:t>創建時間線圖表的工具：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Timemapper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Timeline.js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Neatline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、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MyHistro</w:t>
            </w:r>
          </w:p>
        </w:tc>
      </w:tr>
      <w:tr w:rsidR="0096755B" w14:paraId="5DA06591" w14:textId="77777777" w:rsidTr="0037502A">
        <w:tc>
          <w:tcPr>
            <w:tcW w:w="1668" w:type="dxa"/>
          </w:tcPr>
          <w:p w14:paraId="00BFF0BB" w14:textId="77777777" w:rsidR="0096755B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Georgia" w:eastAsia="標楷體" w:hAnsi="Georgia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>
              <w:rPr>
                <w:rFonts w:ascii="Georgia" w:eastAsia="標楷體" w:hAnsi="Georgia" w:cs="Open Sans" w:hint="eastAsia"/>
                <w:color w:val="000000"/>
                <w:kern w:val="0"/>
                <w:szCs w:val="24"/>
                <w:bdr w:val="none" w:sz="0" w:space="0" w:color="auto" w:frame="1"/>
              </w:rPr>
              <w:t>教學進度</w:t>
            </w:r>
          </w:p>
        </w:tc>
        <w:tc>
          <w:tcPr>
            <w:tcW w:w="7040" w:type="dxa"/>
          </w:tcPr>
          <w:p w14:paraId="5E82DE8B" w14:textId="77777777" w:rsidR="0096755B" w:rsidRPr="00D63390" w:rsidRDefault="0096755B" w:rsidP="0037502A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課程以主題進行編排，前期課程主要瞭解數位人文的定義，教導學生如何選擇適合的文章素材，以及素材內容的篩選。中前期課程主要教導學生如何想出一個適合的研究問題，介紹「元數據」定義以及如何將素材進行分類、整理；中期課程將著重於解釋數據資料視覺化的重要性，同時介紹可使用的工具及技術。後期課程會介紹到「編碼」及「虛擬和現實」的定義。</w:t>
            </w:r>
          </w:p>
        </w:tc>
      </w:tr>
      <w:tr w:rsidR="0096755B" w14:paraId="0D77B1B2" w14:textId="77777777" w:rsidTr="0037502A">
        <w:tc>
          <w:tcPr>
            <w:tcW w:w="1668" w:type="dxa"/>
          </w:tcPr>
          <w:p w14:paraId="6D6566A1" w14:textId="77777777" w:rsidR="0096755B" w:rsidRPr="0060103B" w:rsidRDefault="0096755B" w:rsidP="0037502A">
            <w:pPr>
              <w:widowControl/>
              <w:spacing w:beforeAutospacing="1" w:afterAutospacing="1"/>
              <w:textAlignment w:val="baseline"/>
              <w:rPr>
                <w:rFonts w:ascii="標楷體" w:eastAsia="標楷體" w:hAnsi="標楷體" w:cs="Open Sans"/>
                <w:color w:val="000000"/>
                <w:kern w:val="0"/>
                <w:szCs w:val="24"/>
                <w:bdr w:val="none" w:sz="0" w:space="0" w:color="auto" w:frame="1"/>
              </w:rPr>
            </w:pPr>
            <w:r w:rsidRPr="0060103B">
              <w:rPr>
                <w:rFonts w:ascii="標楷體" w:eastAsia="標楷體" w:hAnsi="標楷體" w:hint="eastAsia"/>
              </w:rPr>
              <w:t>主要閱讀</w:t>
            </w:r>
            <w:r>
              <w:rPr>
                <w:rFonts w:ascii="標楷體" w:eastAsia="標楷體" w:hAnsi="標楷體" w:hint="eastAsia"/>
              </w:rPr>
              <w:t>教材</w:t>
            </w:r>
          </w:p>
        </w:tc>
        <w:tc>
          <w:tcPr>
            <w:tcW w:w="7040" w:type="dxa"/>
          </w:tcPr>
          <w:p w14:paraId="661F3176" w14:textId="77777777" w:rsidR="0096755B" w:rsidRPr="00B601B6" w:rsidRDefault="0096755B" w:rsidP="0037502A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B601B6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數位人文的定義：</w:t>
            </w:r>
          </w:p>
          <w:p w14:paraId="55B96930" w14:textId="77777777" w:rsidR="0096755B" w:rsidRPr="00C54508" w:rsidRDefault="0096755B" w:rsidP="0037502A">
            <w:pPr>
              <w:pStyle w:val="a7"/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Burdick et al. "One: From Humanities to Digital Humanities." In Digital_Humanities. Cambridge, MA: MIT Press, 2012.</w:t>
            </w:r>
          </w:p>
          <w:p w14:paraId="450530CD" w14:textId="77777777" w:rsidR="0096755B" w:rsidRDefault="0096755B" w:rsidP="0037502A">
            <w:pPr>
              <w:pStyle w:val="a7"/>
              <w:ind w:leftChars="0"/>
              <w:rPr>
                <w:rFonts w:ascii="標楷體" w:eastAsia="標楷體" w:hAnsi="標楷體"/>
                <w:color w:val="000000" w:themeColor="text1"/>
              </w:rPr>
            </w:pPr>
          </w:p>
          <w:p w14:paraId="732E048F" w14:textId="77777777" w:rsidR="0096755B" w:rsidRPr="00B601B6" w:rsidRDefault="0096755B" w:rsidP="0037502A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B601B6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選擇適合的文章素材：</w:t>
            </w:r>
          </w:p>
          <w:p w14:paraId="4771C4DB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Michel-Rolph Trouillot, Silencing the Past: Power and the Production of History, 2015, chapter one.</w:t>
            </w:r>
          </w:p>
          <w:p w14:paraId="7299D667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12C32D40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Caswell, Michelle. "Seeing Yourself in History: Community Archives and the Fight Against Symbolic Annihilation." The Public Historian 36, no. 4 (November 1, 2014): 26-37.</w:t>
            </w:r>
          </w:p>
          <w:p w14:paraId="64AB9F3A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27087001" w14:textId="77777777" w:rsidR="0096755B" w:rsidRPr="00B601B6" w:rsidRDefault="0096755B" w:rsidP="0037502A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B601B6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lastRenderedPageBreak/>
              <w:t>如何</w:t>
            </w:r>
            <w:r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產</w:t>
            </w:r>
            <w:r w:rsidRPr="00B601B6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出適合的研究問題：</w:t>
            </w:r>
          </w:p>
          <w:p w14:paraId="09BD9A7A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Information Literacy Lynda video, chapters two, three, and four.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（</w:t>
            </w:r>
            <w:hyperlink r:id="rId8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https://oarc.ucla.edu/training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</w:p>
          <w:p w14:paraId="49DBF211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15E2556A" w14:textId="77777777" w:rsidR="0096755B" w:rsidRPr="00BA2DCD" w:rsidRDefault="0096755B" w:rsidP="0037502A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BA2DCD">
              <w:rPr>
                <w:rFonts w:ascii="標楷體" w:eastAsia="標楷體" w:hAnsi="標楷體" w:hint="eastAsia"/>
                <w:color w:val="000000" w:themeColor="text1"/>
              </w:rPr>
              <w:t>元數據的定義：</w:t>
            </w:r>
          </w:p>
          <w:p w14:paraId="26F371D1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National Information Standards Organization, "What is Metadata?" (Bethesda, MD: NISO Press, 2004).</w:t>
            </w:r>
          </w:p>
          <w:p w14:paraId="64621C24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(</w:t>
            </w:r>
            <w:hyperlink r:id="rId9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https://www.niso.org/publications/understanding-metadata-2017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  <w:p w14:paraId="22DE7A48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4C05D088" w14:textId="77777777" w:rsidR="0096755B" w:rsidRPr="00B601B6" w:rsidRDefault="0096755B" w:rsidP="0037502A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B601B6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如何將資料進行分類、整理：</w:t>
            </w:r>
          </w:p>
          <w:p w14:paraId="161DC9F9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Duarte, Marisa Elena, and Miranda Belarde-Lewis. "Imagining: Creating Spaces for Indigenous Ontologies." Cataloging &amp; Classification Quarterly 53, no. 5-6 (July 4, 2015): 677-702.</w:t>
            </w:r>
          </w:p>
          <w:p w14:paraId="0FDA23C3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3E9A9C33" w14:textId="77777777" w:rsidR="0096755B" w:rsidRPr="00B601B6" w:rsidRDefault="0096755B" w:rsidP="0037502A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B601B6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視覺化的重要性、可使用的工具及技術：</w:t>
            </w:r>
          </w:p>
          <w:p w14:paraId="4C671862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 xml:space="preserve">Yau, Nathan. Data Points: Visualization That Means Something. Indianapolis, IN: John Wiley &amp; Sons, Inc., 2013,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C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 xml:space="preserve">hapter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hree.</w:t>
            </w:r>
          </w:p>
          <w:p w14:paraId="2A1F48DC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0D3AF0EC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C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harter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Gu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ideline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（</w:t>
            </w:r>
            <w:hyperlink r:id="rId10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http://miriamposner.com/classes/dh101f16/assignments/final-project/project-milestones/charter-guidelines/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</w:p>
          <w:p w14:paraId="29394EC6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168FCEE2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Johanna Drucker, "Humanities Approaches to Graphical Display," Digital Humanities Quarterly 5, no. 1 (2011).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（</w:t>
            </w:r>
            <w:hyperlink r:id="rId11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http://digitalhumanities.org/dhq/vol/5/1/000091/000091.html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</w:p>
          <w:p w14:paraId="26007C7C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7BB4665A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Sue Jenkins, Design Aesthetics for Web Design (Lynda video), chapters one through three.</w:t>
            </w:r>
          </w:p>
          <w:p w14:paraId="52C78B92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4C424A10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 xml:space="preserve">Lewis Hyde, Trickster Makes This World: Mischief, Myth, and Art (New York N.Y.: Farrar Straus and Giroux, 2010),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I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ntroduction.</w:t>
            </w:r>
          </w:p>
          <w:p w14:paraId="2620227A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39D773EB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Jim Detwiler, "Introduction to Web Mapping"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（</w:t>
            </w:r>
            <w:hyperlink r:id="rId12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https://web.archive.org/web/20100731081233/https://www.e-education.psu.edu/geog863/book/export/html/1904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</w:p>
          <w:p w14:paraId="1986D0CB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6404CE17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Turnbull, David. Maps Are Territories: Science Is an Atlas: A Portfolio of Exhibits. University of Chicago Press ed. Chicago: University of Chicago Press, 1993.</w:t>
            </w:r>
          </w:p>
          <w:p w14:paraId="27633A19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24B8A095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Annotated Bibliography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（</w:t>
            </w:r>
            <w:hyperlink r:id="rId13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http://miriamposner.com/classes/dh101f17/assignments/final-project/milestones/annotated-bibliography-guidelines/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</w:p>
          <w:p w14:paraId="59F54340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3121E743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Scott Weingart, "Demystifying Networks, Parts I &amp; II," Journal of Digital Humanities 1:1 (Winter 2011).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（</w:t>
            </w:r>
            <w:hyperlink r:id="rId14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http://journalofdigitalhumanities.org/1-1/demystifying-</w:t>
              </w:r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lastRenderedPageBreak/>
                <w:t>networks-by-scott-weingart/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</w:p>
          <w:p w14:paraId="7CB1B639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48A8B473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Julia Angwin et al., "Machine Bias," ProPublica, May 23, 2016.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（</w:t>
            </w:r>
            <w:hyperlink r:id="rId15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https://www.propublica.org/article/machine-bias-risk-assessments-in-criminal-sentencing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</w:p>
          <w:p w14:paraId="0B1F707B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502AC3D9" w14:textId="77777777" w:rsidR="0096755B" w:rsidRPr="009C7D29" w:rsidRDefault="0096755B" w:rsidP="0037502A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bCs/>
                <w:color w:val="000000" w:themeColor="text1"/>
              </w:rPr>
            </w:pPr>
            <w:r w:rsidRPr="009C7D29">
              <w:rPr>
                <w:rFonts w:ascii="標楷體" w:eastAsia="標楷體" w:hAnsi="標楷體" w:hint="eastAsia"/>
                <w:b/>
                <w:bCs/>
                <w:color w:val="000000" w:themeColor="text1"/>
              </w:rPr>
              <w:t>「編碼」及「虛擬和現實」的定義：</w:t>
            </w:r>
          </w:p>
          <w:p w14:paraId="13A83945" w14:textId="77777777" w:rsidR="0096755B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Paul Ford, "What is Code?", Bloomberg, June 11, 2015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br/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（</w:t>
            </w:r>
            <w:hyperlink r:id="rId16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https://www.bloomberg.com/graphics/2015-paul-ford-what-is-code/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</w:p>
          <w:p w14:paraId="37A9D2F3" w14:textId="77777777" w:rsidR="0096755B" w:rsidRPr="00C54508" w:rsidRDefault="0096755B" w:rsidP="0037502A">
            <w:pPr>
              <w:pStyle w:val="a7"/>
              <w:ind w:leftChars="0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  <w:p w14:paraId="090E87AD" w14:textId="77777777" w:rsidR="0096755B" w:rsidRPr="009C7D29" w:rsidRDefault="0096755B" w:rsidP="0037502A">
            <w:pPr>
              <w:pStyle w:val="a7"/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Will virtual and augmented reality move us into the knowledge age?</w:t>
            </w:r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（</w:t>
            </w:r>
            <w:hyperlink r:id="rId17" w:history="1">
              <w:r w:rsidRPr="00C54508">
                <w:rPr>
                  <w:rStyle w:val="a4"/>
                  <w:rFonts w:ascii="Times New Roman" w:eastAsia="標楷體" w:hAnsi="Times New Roman" w:cs="Times New Roman"/>
                </w:rPr>
                <w:t>https://www.youtube.com/watch?v=2FA-IuDTMjE</w:t>
              </w:r>
            </w:hyperlink>
            <w:r w:rsidRPr="00C54508">
              <w:rPr>
                <w:rFonts w:ascii="Times New Roman" w:eastAsia="標楷體" w:hAnsi="Times New Roman" w:cs="Times New Roman"/>
                <w:color w:val="000000" w:themeColor="text1"/>
              </w:rPr>
              <w:t>）</w:t>
            </w:r>
          </w:p>
        </w:tc>
      </w:tr>
    </w:tbl>
    <w:p w14:paraId="519480BF" w14:textId="0E636042" w:rsidR="0096755B" w:rsidRPr="00D34B17" w:rsidRDefault="0096755B" w:rsidP="0096755B">
      <w:pPr>
        <w:rPr>
          <w:rFonts w:hint="eastAsia"/>
        </w:rPr>
      </w:pPr>
      <w:bookmarkStart w:id="0" w:name="_GoBack"/>
      <w:bookmarkEnd w:id="0"/>
    </w:p>
    <w:p w14:paraId="7C6598CD" w14:textId="77777777" w:rsidR="00A13EDA" w:rsidRPr="0096755B" w:rsidRDefault="00A13EDA" w:rsidP="0096755B"/>
    <w:sectPr w:rsidR="00A13EDA" w:rsidRPr="009675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FA9F5" w14:textId="77777777" w:rsidR="00676F4E" w:rsidRDefault="00676F4E" w:rsidP="00927483">
      <w:r>
        <w:separator/>
      </w:r>
    </w:p>
  </w:endnote>
  <w:endnote w:type="continuationSeparator" w:id="0">
    <w:p w14:paraId="5138BF1B" w14:textId="77777777" w:rsidR="00676F4E" w:rsidRDefault="00676F4E" w:rsidP="0092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95957" w14:textId="77777777" w:rsidR="00676F4E" w:rsidRDefault="00676F4E" w:rsidP="00927483">
      <w:r>
        <w:separator/>
      </w:r>
    </w:p>
  </w:footnote>
  <w:footnote w:type="continuationSeparator" w:id="0">
    <w:p w14:paraId="44F913A2" w14:textId="77777777" w:rsidR="00676F4E" w:rsidRDefault="00676F4E" w:rsidP="00927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0"/>
    <w:multiLevelType w:val="hybridMultilevel"/>
    <w:tmpl w:val="8E245EC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bCs/>
        <w:sz w:val="24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294F7B"/>
    <w:multiLevelType w:val="hybridMultilevel"/>
    <w:tmpl w:val="8E245EC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bCs/>
        <w:sz w:val="24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D86C81"/>
    <w:multiLevelType w:val="hybridMultilevel"/>
    <w:tmpl w:val="71E867F6"/>
    <w:lvl w:ilvl="0" w:tplc="21D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6E4BE3"/>
    <w:multiLevelType w:val="hybridMultilevel"/>
    <w:tmpl w:val="DF7AF238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bCs/>
        <w:sz w:val="24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8E427F"/>
    <w:multiLevelType w:val="hybridMultilevel"/>
    <w:tmpl w:val="A0FED6E0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bCs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9C5B55"/>
    <w:multiLevelType w:val="hybridMultilevel"/>
    <w:tmpl w:val="28FCB89E"/>
    <w:lvl w:ilvl="0" w:tplc="F45AAB62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bCs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5E3829"/>
    <w:multiLevelType w:val="hybridMultilevel"/>
    <w:tmpl w:val="B9C65DD0"/>
    <w:lvl w:ilvl="0" w:tplc="B4EEA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901057"/>
    <w:multiLevelType w:val="hybridMultilevel"/>
    <w:tmpl w:val="11C861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C522E55"/>
    <w:multiLevelType w:val="hybridMultilevel"/>
    <w:tmpl w:val="4AAE4394"/>
    <w:lvl w:ilvl="0" w:tplc="F45AAB62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bCs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8A0993"/>
    <w:multiLevelType w:val="hybridMultilevel"/>
    <w:tmpl w:val="A3EC3C50"/>
    <w:lvl w:ilvl="0" w:tplc="F45AAB62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bCs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EDA"/>
    <w:rsid w:val="00090BD7"/>
    <w:rsid w:val="00131062"/>
    <w:rsid w:val="001B26B0"/>
    <w:rsid w:val="001F4A61"/>
    <w:rsid w:val="00275539"/>
    <w:rsid w:val="002C731A"/>
    <w:rsid w:val="002D7E2D"/>
    <w:rsid w:val="002F71A1"/>
    <w:rsid w:val="00451A12"/>
    <w:rsid w:val="00453D9E"/>
    <w:rsid w:val="0053294B"/>
    <w:rsid w:val="00564E90"/>
    <w:rsid w:val="00676F4E"/>
    <w:rsid w:val="007021D0"/>
    <w:rsid w:val="00725E4B"/>
    <w:rsid w:val="007A3B92"/>
    <w:rsid w:val="00860E64"/>
    <w:rsid w:val="00927483"/>
    <w:rsid w:val="0096755B"/>
    <w:rsid w:val="009C7D29"/>
    <w:rsid w:val="009E62F6"/>
    <w:rsid w:val="00A12F42"/>
    <w:rsid w:val="00A13EDA"/>
    <w:rsid w:val="00A344E4"/>
    <w:rsid w:val="00AE0ABB"/>
    <w:rsid w:val="00B601B6"/>
    <w:rsid w:val="00BA2DCD"/>
    <w:rsid w:val="00BB0EEA"/>
    <w:rsid w:val="00BD5E68"/>
    <w:rsid w:val="00C10B43"/>
    <w:rsid w:val="00C54508"/>
    <w:rsid w:val="00CA61CD"/>
    <w:rsid w:val="00CE2668"/>
    <w:rsid w:val="00D22DA1"/>
    <w:rsid w:val="00D63390"/>
    <w:rsid w:val="00DC4DD4"/>
    <w:rsid w:val="00EA0374"/>
    <w:rsid w:val="00EC6F5F"/>
    <w:rsid w:val="00EE1354"/>
    <w:rsid w:val="00F07AB3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56080"/>
  <w15:docId w15:val="{282A8632-1D12-438E-9438-B2CF81CD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5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3ED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7AB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A61C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D22DA1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27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2748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27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274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rc.ucla.edu/training" TargetMode="External"/><Relationship Id="rId13" Type="http://schemas.openxmlformats.org/officeDocument/2006/relationships/hyperlink" Target="http://miriamposner.com/classes/dh101f17/assignments/final-project/milestones/annotated-bibliography-guidelin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iamposner.com/classes/dh101f17/" TargetMode="External"/><Relationship Id="rId12" Type="http://schemas.openxmlformats.org/officeDocument/2006/relationships/hyperlink" Target="https://web.archive.org/web/20100731081233/https://www.e-education.psu.edu/geog863/book/export/html/1904" TargetMode="External"/><Relationship Id="rId17" Type="http://schemas.openxmlformats.org/officeDocument/2006/relationships/hyperlink" Target="https://www.youtube.com/watch?v=2FA-IuDTMj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omberg.com/graphics/2015-paul-ford-what-is-co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igitalhumanities.org/dhq/vol/5/1/000091/00009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ropublica.org/article/machine-bias-risk-assessments-in-criminal-sentencing" TargetMode="External"/><Relationship Id="rId10" Type="http://schemas.openxmlformats.org/officeDocument/2006/relationships/hyperlink" Target="http://miriamposner.com/classes/dh101f16/assignments/final-project/project-milestones/charter-guidelin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iso.org/publications/understanding-metadata-2017" TargetMode="External"/><Relationship Id="rId14" Type="http://schemas.openxmlformats.org/officeDocument/2006/relationships/hyperlink" Target="http://journalofdigitalhumanities.org/1-1/demystifying-networks-by-scott-weingar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2022-05-18T13:56:00Z</dcterms:created>
  <dcterms:modified xsi:type="dcterms:W3CDTF">2022-07-24T23:54:00Z</dcterms:modified>
</cp:coreProperties>
</file>