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Noto Sans CJK SC" w:hAnsi="Noto Sans CJK SC" w:eastAsia="Noto Sans CJK SC" w:cs="Noto Sans CJK SC"/>
          <w:b/>
          <w:color w:val="0F172A"/>
          <w:sz w:val="52"/>
        </w:rPr>
        <w:t>AI 数字货币交易 Agent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1E66F5"/>
          <w:sz w:val="48"/>
        </w:rPr>
        <w:t>专家知识库与金融书籍智能体需求文档</w:t>
      </w:r>
    </w:p>
    <w:p>
      <w:pPr>
        <w:jc w:val="center"/>
      </w:pPr>
      <w:r>
        <w:rPr>
          <w:rFonts w:ascii="Noto Sans CJK SC" w:hAnsi="Noto Sans CJK SC" w:eastAsia="Noto Sans CJK SC" w:cs="Noto Sans CJK SC"/>
          <w:b w:val="0"/>
          <w:color w:val="334155"/>
          <w:sz w:val="28"/>
        </w:rPr>
        <w:t>Master Knowledge Engine PRD · v1.0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FF6FF"/>
            <w:tcBorders>
              <w:top w:sz="8" w:val="single" w:color="1E66F5"/>
              <w:start w:sz="8" w:val="single" w:color="1E66F5"/>
              <w:bottom w:sz="4" w:val="single" w:color="CBD5E1"/>
              <w:end w:sz="4" w:val="single" w:color="CBD5E1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1E66F5"/>
                <w:sz w:val="21"/>
              </w:rPr>
              <w:t>模块定位</w:t>
            </w:r>
          </w:p>
          <w:p>
            <w:pPr>
              <w:spacing w:after="4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20"/>
              </w:rPr>
              <w:t>将经典、最新、前沿的金融、宏观/微观经济、交易、风控、Crypto 与 DeFi 知识，转化为 Agent 可调用的专家框架、概念图谱、交易规则、反方观点和可审计证据链。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shd w:fill="EEF6FF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0F172A"/>
                <w:sz w:val="19"/>
              </w:rPr>
              <w:t>文档版本</w:t>
            </w:r>
          </w:p>
        </w:tc>
        <w:tc>
          <w:tcPr>
            <w:tcW w:type="dxa" w:w="6803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9"/>
              </w:rPr>
              <w:t>v1.0</w:t>
            </w:r>
          </w:p>
        </w:tc>
      </w:tr>
      <w:tr>
        <w:tc>
          <w:tcPr>
            <w:tcW w:type="dxa" w:w="2268"/>
            <w:shd w:fill="EEF6FF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0F172A"/>
                <w:sz w:val="19"/>
              </w:rPr>
              <w:t>适用产品</w:t>
            </w:r>
          </w:p>
        </w:tc>
        <w:tc>
          <w:tcPr>
            <w:tcW w:type="dxa" w:w="6803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9"/>
              </w:rPr>
              <w:t>AI 数字货币交易 Agent</w:t>
            </w:r>
          </w:p>
        </w:tc>
      </w:tr>
      <w:tr>
        <w:tc>
          <w:tcPr>
            <w:tcW w:type="dxa" w:w="2268"/>
            <w:shd w:fill="EEF6FF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0F172A"/>
                <w:sz w:val="19"/>
              </w:rPr>
              <w:t>独立模块</w:t>
            </w:r>
          </w:p>
        </w:tc>
        <w:tc>
          <w:tcPr>
            <w:tcW w:type="dxa" w:w="6803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9"/>
              </w:rPr>
              <w:t>专家知识库 / 金融书籍智能体 / Master Knowledge Engine</w:t>
            </w:r>
          </w:p>
        </w:tc>
      </w:tr>
      <w:tr>
        <w:tc>
          <w:tcPr>
            <w:tcW w:type="dxa" w:w="2268"/>
            <w:shd w:fill="EEF6FF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0F172A"/>
                <w:sz w:val="19"/>
              </w:rPr>
              <w:t>核心目标</w:t>
            </w:r>
          </w:p>
        </w:tc>
        <w:tc>
          <w:tcPr>
            <w:tcW w:type="dxa" w:w="6803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9"/>
              </w:rPr>
              <w:t>让 Agent 不只是“读过资料”，而是能在实时交易分析和自主交易前置审查中调用专家级知识。</w:t>
            </w:r>
          </w:p>
        </w:tc>
      </w:tr>
      <w:tr>
        <w:tc>
          <w:tcPr>
            <w:tcW w:type="dxa" w:w="2268"/>
            <w:shd w:fill="EEF6FF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0F172A"/>
                <w:sz w:val="19"/>
              </w:rPr>
              <w:t>当前日期</w:t>
            </w:r>
          </w:p>
        </w:tc>
        <w:tc>
          <w:tcPr>
            <w:tcW w:type="dxa" w:w="6803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9"/>
              </w:rPr>
              <w:t>2026-07-01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1E66F5"/>
          <w:sz w:val="36"/>
        </w:rPr>
        <w:t>版本记录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417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814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953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17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9"/>
              </w:rPr>
              <w:t>v1.0</w:t>
            </w:r>
          </w:p>
        </w:tc>
        <w:tc>
          <w:tcPr>
            <w:tcW w:type="dxa" w:w="181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9"/>
              </w:rPr>
              <w:t>2026-07-01</w:t>
            </w:r>
          </w:p>
        </w:tc>
        <w:tc>
          <w:tcPr>
            <w:tcW w:type="dxa" w:w="5953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9"/>
              </w:rPr>
              <w:t>首次独立成文，覆盖书籍导入、知识蒸馏、专家框架、交易规则转化、运行时调用、UI、数据模型、安全与验收标准。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1E66F5"/>
          <w:sz w:val="36"/>
        </w:rPr>
        <w:t>目录</w:t>
      </w:r>
    </w:p>
    <w:p>
      <w:pPr>
        <w:spacing w:after="4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1"/>
        </w:rPr>
        <w:t>1. 背景与产品目标</w:t>
      </w:r>
    </w:p>
    <w:p>
      <w:pPr>
        <w:spacing w:after="4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1"/>
        </w:rPr>
        <w:t>2. 模块边界与成功标准</w:t>
      </w:r>
    </w:p>
    <w:p>
      <w:pPr>
        <w:spacing w:after="4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1"/>
        </w:rPr>
        <w:t>3. 用户角色与核心场景</w:t>
      </w:r>
    </w:p>
    <w:p>
      <w:pPr>
        <w:spacing w:after="4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1"/>
        </w:rPr>
        <w:t>4. 知识体系与专家领域划分</w:t>
      </w:r>
    </w:p>
    <w:p>
      <w:pPr>
        <w:spacing w:after="4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1"/>
        </w:rPr>
        <w:t>5. 总体架构</w:t>
      </w:r>
    </w:p>
    <w:p>
      <w:pPr>
        <w:spacing w:after="4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1"/>
        </w:rPr>
        <w:t>6. 功能需求清单</w:t>
      </w:r>
    </w:p>
    <w:p>
      <w:pPr>
        <w:spacing w:after="4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1"/>
        </w:rPr>
        <w:t>7. 运行时专家分析流程</w:t>
      </w:r>
    </w:p>
    <w:p>
      <w:pPr>
        <w:spacing w:after="4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1"/>
        </w:rPr>
        <w:t>8. 与自主交易系统的联动</w:t>
      </w:r>
    </w:p>
    <w:p>
      <w:pPr>
        <w:spacing w:after="4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1"/>
        </w:rPr>
        <w:t>9. 页面与交互需求</w:t>
      </w:r>
    </w:p>
    <w:p>
      <w:pPr>
        <w:spacing w:after="4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1"/>
        </w:rPr>
        <w:t>10. 数据模型</w:t>
      </w:r>
    </w:p>
    <w:p>
      <w:pPr>
        <w:spacing w:after="4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1"/>
        </w:rPr>
        <w:t>11. API 与集成需求</w:t>
      </w:r>
    </w:p>
    <w:p>
      <w:pPr>
        <w:spacing w:after="4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1"/>
        </w:rPr>
        <w:t>12. 非功能需求</w:t>
      </w:r>
    </w:p>
    <w:p>
      <w:pPr>
        <w:spacing w:after="4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1"/>
        </w:rPr>
        <w:t>13. 安全、版权与治理</w:t>
      </w:r>
    </w:p>
    <w:p>
      <w:pPr>
        <w:spacing w:after="4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1"/>
        </w:rPr>
        <w:t>14. 验收标准</w:t>
      </w:r>
    </w:p>
    <w:p>
      <w:pPr>
        <w:spacing w:after="4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1"/>
        </w:rPr>
        <w:t>15. MVP 与路线图</w:t>
      </w:r>
    </w:p>
    <w:p>
      <w:pPr>
        <w:spacing w:after="4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1"/>
        </w:rPr>
        <w:t>16. 风险与未决问题</w:t>
      </w:r>
    </w:p>
    <w:p>
      <w:r>
        <w:br w:type="page"/>
      </w:r>
    </w:p>
    <w:p>
      <w:pPr>
        <w:pStyle w:val="Heading1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1E66F5"/>
          <w:sz w:val="36"/>
        </w:rPr>
        <w:t>1. 背景与产品目标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1.1 背景</w:t>
      </w:r>
    </w:p>
    <w:p>
      <w:pPr>
        <w:spacing w:after="12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1"/>
        </w:rPr>
        <w:t>用户希望将经典、最新、最前沿的金融、宏观经济、微观经济、交易、风控、数字货币与 DeFi 相关书籍和资料交给 Agent 掌握，并让 Agent 在 OKX / Binance 自主交易、重要事件跟进和交易复盘中输出专家级分析。</w:t>
      </w:r>
    </w:p>
    <w:p>
      <w:pPr>
        <w:spacing w:after="12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1"/>
        </w:rPr>
        <w:t>普通知识库通常只解决“资料可搜索”的问题，但交易场景需要更高要求：知识必须能被结构化、可追溯、可冲突辨析、可转化为交易规则，并能在实时行情、事件、仓位和风控检查中被自动调用。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0FDF4"/>
            <w:tcBorders>
              <w:top w:sz="8" w:val="single" w:color="16A34A"/>
              <w:start w:sz="8" w:val="single" w:color="16A34A"/>
              <w:bottom w:sz="4" w:val="single" w:color="CBD5E1"/>
              <w:end w:sz="4" w:val="single" w:color="CBD5E1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16A34A"/>
                <w:sz w:val="21"/>
              </w:rPr>
              <w:t>核心判断</w:t>
            </w:r>
          </w:p>
          <w:p>
            <w:pPr>
              <w:spacing w:after="4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20"/>
              </w:rPr>
              <w:t>本模块不是“电子书仓库”，而是将书籍、论文、研报、链接和个人经验转化为 Agent 的长期专业大脑。</w:t>
            </w:r>
          </w:p>
        </w:tc>
      </w:tr>
    </w:tbl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1.2 产品目标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支持用户导入合法拥有或有权使用的书籍、论文、研报、课程、网页、GitHub 仓库、个人笔记和复盘内容。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把资料转化为书籍卡、章节卡、概念卡、理论框架卡、案例卡、冲突观点和可审批交易规则。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让 Agent 在分析 BTC / ETH / 山寨币、宏观事件、利率、通胀、资金费率、OI、订单簿和链上数据时自动调用相关专家框架。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为自主交易提供“知识证据链”和“前置专家审查”，确保每笔重要交易都能解释为什么、参考了什么、哪些理论反对、风险在哪里。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通过交易复盘、错误归因和知识版本管理，让 Agent 的专业判断持续进化。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1.3 产品原则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原则</w:t>
            </w:r>
          </w:p>
        </w:tc>
        <w:tc>
          <w:tcPr>
            <w:tcW w:type="dxa" w:w="6803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9"/>
              </w:rPr>
              <w:t>掌握不等于存储</w:t>
            </w:r>
          </w:p>
        </w:tc>
        <w:tc>
          <w:tcPr>
            <w:tcW w:type="dxa" w:w="6803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9"/>
              </w:rPr>
              <w:t>资料进入系统后必须被蒸馏为概念、框架、规则、案例和反方观点，而不是只切片存入向量库。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9"/>
              </w:rPr>
              <w:t>结论必须可追溯</w:t>
            </w:r>
          </w:p>
        </w:tc>
        <w:tc>
          <w:tcPr>
            <w:tcW w:type="dxa" w:w="6803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9"/>
              </w:rPr>
              <w:t>专家级分析中的关键判断需要能回溯到来源、章节、概念卡、规则、市场数据或历史复盘。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9"/>
              </w:rPr>
              <w:t>理论必须有适用边界</w:t>
            </w:r>
          </w:p>
        </w:tc>
        <w:tc>
          <w:tcPr>
            <w:tcW w:type="dxa" w:w="6803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9"/>
              </w:rPr>
              <w:t>每个理论框架都要记录适用条件、失效条件和与其他理论的冲突关系。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9"/>
              </w:rPr>
              <w:t>知识不能绕过风控</w:t>
            </w:r>
          </w:p>
        </w:tc>
        <w:tc>
          <w:tcPr>
            <w:tcW w:type="dxa" w:w="6803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9"/>
              </w:rPr>
              <w:t>书籍、网页、研报或外部内容不能直接触发交易；交易动作必须经过交易计划、硬风控和授权委托。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9"/>
              </w:rPr>
              <w:t>个人化优先</w:t>
            </w:r>
          </w:p>
        </w:tc>
        <w:tc>
          <w:tcPr>
            <w:tcW w:type="dxa" w:w="6803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9"/>
              </w:rPr>
              <w:t>用户的交易偏好、禁忌、复盘和授权边界应高于通用资料中的建议。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9"/>
              </w:rPr>
              <w:t>版权与权限优先</w:t>
            </w:r>
          </w:p>
        </w:tc>
        <w:tc>
          <w:tcPr>
            <w:tcW w:type="dxa" w:w="6803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9"/>
              </w:rPr>
              <w:t>系统只处理用户合法提供或授权访问的资料，不对外分发完整版权内容。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1E66F5"/>
          <w:sz w:val="36"/>
        </w:rPr>
        <w:t>2. 模块边界与成功标准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2.1 In Scope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资料导入：PDF、EPUB、DOCX、Markdown、HTML、网页链接、GitHub 仓库、RSS/订阅源、个人笔记与交易复盘。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资料解析：目录、章节、标题、段落、表格、公式、图表说明、脚注、参考文献、发布时间、版本。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知识蒸馏：生成书籍卡、章节摘要、概念卡、理论框架卡、案例卡、交易启发和冲突观点。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专家图谱：构建概念、理论、资产、市场数据、交易规则和复盘结果之间的关系。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运行时调用：在分析、重要事件跟进、自主交易前置审查、风控拦截、复盘中自动召回知识。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定时学习：定期刷新前沿研究、宏观事件资料、交易所研究、用户指定链接和知识老化状态。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治理：版权标记、权限控制、版本管理、质量评分、人工审批、审计日志。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2.2 Out of Scope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不承诺通过导入书籍保证交易盈利。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不对外提供完整版权书籍内容的检索、下载或复制。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不允许外部网页、书籍文本、GitHub 仓库或第三方 Skill 直接命令 Agent 下单。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不替代交易系统的硬风控、API 权限隔离、熔断和人工授权机制。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不默认使用用户资料训练基础模型；如未来支持，必须单独授权、单独记录、单独撤回。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2.3 成功标准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835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649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验收口径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资料覆盖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核心来源元数据完整率 ≥ 95%</w:t>
            </w:r>
          </w:p>
        </w:tc>
        <w:tc>
          <w:tcPr>
            <w:tcW w:type="dxa" w:w="464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每个资料至少记录来源、类型、权限、导入时间、版本、处理状态。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知识结构化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每本书至少生成 1 张书籍卡、N 张概念卡和若干章节摘要</w:t>
            </w:r>
          </w:p>
        </w:tc>
        <w:tc>
          <w:tcPr>
            <w:tcW w:type="dxa" w:w="464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用户可在 UI 中查看并编辑结构化结果。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可追溯性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关键分析判断 100% 有内部证据链</w:t>
            </w:r>
          </w:p>
        </w:tc>
        <w:tc>
          <w:tcPr>
            <w:tcW w:type="dxa" w:w="464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每个专家分析报告能展示调用的框架、概念卡、规则和市场数据。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规则治理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外部资料生成的交易硬规则 100% 需人工批准</w:t>
            </w:r>
          </w:p>
        </w:tc>
        <w:tc>
          <w:tcPr>
            <w:tcW w:type="dxa" w:w="464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未批准规则只能作为参考，不得拦截或触发自主交易。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运行时价值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自主交易前置审查 100% 生成知识调用记录</w:t>
            </w:r>
          </w:p>
        </w:tc>
        <w:tc>
          <w:tcPr>
            <w:tcW w:type="dxa" w:w="464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每个自动交易决策绑定 analysis_bundle_id。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安全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外部内容注入攻击 0 次成功绕过风控</w:t>
            </w:r>
          </w:p>
        </w:tc>
        <w:tc>
          <w:tcPr>
            <w:tcW w:type="dxa" w:w="464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红队测试中外部内容不得修改授权、读取密钥或直接下单。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1E66F5"/>
          <w:sz w:val="36"/>
        </w:rPr>
        <w:t>3. 用户角色与核心场景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3.1 用户角色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515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855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主要操作</w:t>
            </w:r>
          </w:p>
        </w:tc>
      </w:tr>
      <w:tr>
        <w:tc>
          <w:tcPr>
            <w:tcW w:type="dxa" w:w="181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交易用户</w:t>
            </w:r>
          </w:p>
        </w:tc>
        <w:tc>
          <w:tcPr>
            <w:tcW w:type="dxa" w:w="351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让 Agent 掌握自己的金融/经济/交易知识体系，并用于分析和自主交易。</w:t>
            </w:r>
          </w:p>
        </w:tc>
        <w:tc>
          <w:tcPr>
            <w:tcW w:type="dxa" w:w="385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导入资料、查看掌握状态、批准规则、查看专家分析。</w:t>
            </w:r>
          </w:p>
        </w:tc>
      </w:tr>
      <w:tr>
        <w:tc>
          <w:tcPr>
            <w:tcW w:type="dxa" w:w="181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知识管理员</w:t>
            </w:r>
          </w:p>
        </w:tc>
        <w:tc>
          <w:tcPr>
            <w:tcW w:type="dxa" w:w="351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维护资料来源、权限、分类、版本和质量。</w:t>
            </w:r>
          </w:p>
        </w:tc>
        <w:tc>
          <w:tcPr>
            <w:tcW w:type="dxa" w:w="385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编辑元数据、处理冲突、归档过期资料、配置定时抓取。</w:t>
            </w:r>
          </w:p>
        </w:tc>
      </w:tr>
      <w:tr>
        <w:tc>
          <w:tcPr>
            <w:tcW w:type="dxa" w:w="181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AI 研究员</w:t>
            </w:r>
          </w:p>
        </w:tc>
        <w:tc>
          <w:tcPr>
            <w:tcW w:type="dxa" w:w="351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负责读书、蒸馏、提炼概念和理论框架。</w:t>
            </w:r>
          </w:p>
        </w:tc>
        <w:tc>
          <w:tcPr>
            <w:tcW w:type="dxa" w:w="385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解析资料、生成卡片、提出交易启发。</w:t>
            </w:r>
          </w:p>
        </w:tc>
      </w:tr>
      <w:tr>
        <w:tc>
          <w:tcPr>
            <w:tcW w:type="dxa" w:w="181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AI 交易员</w:t>
            </w:r>
          </w:p>
        </w:tc>
        <w:tc>
          <w:tcPr>
            <w:tcW w:type="dxa" w:w="351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在行情和事件中调用专家知识形成交易计划。</w:t>
            </w:r>
          </w:p>
        </w:tc>
        <w:tc>
          <w:tcPr>
            <w:tcW w:type="dxa" w:w="385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生成专家报告、提出交易计划、说明证据链。</w:t>
            </w:r>
          </w:p>
        </w:tc>
      </w:tr>
      <w:tr>
        <w:tc>
          <w:tcPr>
            <w:tcW w:type="dxa" w:w="181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AI 风控官</w:t>
            </w:r>
          </w:p>
        </w:tc>
        <w:tc>
          <w:tcPr>
            <w:tcW w:type="dxa" w:w="351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把批准后的知识规则转化为风控约束。</w:t>
            </w:r>
          </w:p>
        </w:tc>
        <w:tc>
          <w:tcPr>
            <w:tcW w:type="dxa" w:w="385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拦截违规交易、提示风险、记录拦截理由。</w:t>
            </w:r>
          </w:p>
        </w:tc>
      </w:tr>
      <w:tr>
        <w:tc>
          <w:tcPr>
            <w:tcW w:type="dxa" w:w="181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反方质疑者</w:t>
            </w:r>
          </w:p>
        </w:tc>
        <w:tc>
          <w:tcPr>
            <w:tcW w:type="dxa" w:w="351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识别当前分析中的反例、冲突理论和失效条件。</w:t>
            </w:r>
          </w:p>
        </w:tc>
        <w:tc>
          <w:tcPr>
            <w:tcW w:type="dxa" w:w="385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生成反方观点、推翻条件和风险提示。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3.2 核心场景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sz="8" w:val="single" w:color="334155"/>
              <w:start w:sz="8" w:val="single" w:color="334155"/>
              <w:bottom w:sz="4" w:val="single" w:color="CBD5E1"/>
              <w:end w:sz="4" w:val="single" w:color="CBD5E1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334155"/>
                <w:sz w:val="21"/>
              </w:rPr>
              <w:t>场景 A：导入一本交易经典书</w:t>
            </w:r>
          </w:p>
          <w:p>
            <w:pPr>
              <w:spacing w:after="4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20"/>
              </w:rPr>
              <w:t>用户上传合法拥有的书籍，系统解析目录和章节，生成书籍卡、概念卡、交易原则和掌握度测试；用户批准部分原则进入规则库。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sz="8" w:val="single" w:color="334155"/>
              <w:start w:sz="8" w:val="single" w:color="334155"/>
              <w:bottom w:sz="4" w:val="single" w:color="CBD5E1"/>
              <w:end w:sz="4" w:val="single" w:color="CBD5E1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334155"/>
                <w:sz w:val="21"/>
              </w:rPr>
              <w:t>场景 B：CPI 公布前分析 BTC</w:t>
            </w:r>
          </w:p>
          <w:p>
            <w:pPr>
              <w:spacing w:after="4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20"/>
              </w:rPr>
              <w:t>系统识别问题属于宏观事件 + 衍生品仓位 + 市场微观结构，调用通胀、Fed 反应函数、资金费率、OI、事件波动风险等框架，输出交易级结论。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sz="8" w:val="single" w:color="334155"/>
              <w:start w:sz="8" w:val="single" w:color="334155"/>
              <w:bottom w:sz="4" w:val="single" w:color="CBD5E1"/>
              <w:end w:sz="4" w:val="single" w:color="CBD5E1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334155"/>
                <w:sz w:val="21"/>
              </w:rPr>
              <w:t>场景 C：自主交易前置审查</w:t>
            </w:r>
          </w:p>
          <w:p>
            <w:pPr>
              <w:spacing w:after="4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20"/>
              </w:rPr>
              <w:t>Agent 准备开仓前，本模块返回相关知识、反方观点、禁止规则和风险提示；若触发硬规则，风控官阻止下单。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sz="8" w:val="single" w:color="334155"/>
              <w:start w:sz="8" w:val="single" w:color="334155"/>
              <w:bottom w:sz="4" w:val="single" w:color="CBD5E1"/>
              <w:end w:sz="4" w:val="single" w:color="CBD5E1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334155"/>
                <w:sz w:val="21"/>
              </w:rPr>
              <w:t>场景 D：周度前沿研究更新</w:t>
            </w:r>
          </w:p>
          <w:p>
            <w:pPr>
              <w:spacing w:after="4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20"/>
              </w:rPr>
              <w:t>定时任务抓取用户订阅的研究源，生成摘要、标记与现有知识的冲突，提交需要用户确认的新规则建议。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sz="8" w:val="single" w:color="334155"/>
              <w:start w:sz="8" w:val="single" w:color="334155"/>
              <w:bottom w:sz="4" w:val="single" w:color="CBD5E1"/>
              <w:end w:sz="4" w:val="single" w:color="CBD5E1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334155"/>
                <w:sz w:val="21"/>
              </w:rPr>
              <w:t>场景 E：亏损复盘写回知识库</w:t>
            </w:r>
          </w:p>
          <w:p>
            <w:pPr>
              <w:spacing w:after="4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20"/>
              </w:rPr>
              <w:t>复盘员发现亏损来自资金费率过热追多，把案例写入个人经验层，并提升相关禁忌规则权重。</w:t>
            </w:r>
          </w:p>
        </w:tc>
      </w:tr>
    </w:tbl>
    <w:p>
      <w:pPr>
        <w:pStyle w:val="Heading1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1E66F5"/>
          <w:sz w:val="36"/>
        </w:rPr>
        <w:t>4. 知识体系与专家领域划分</w:t>
      </w:r>
    </w:p>
    <w:p>
      <w:pPr>
        <w:spacing w:after="12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1"/>
        </w:rPr>
        <w:t>系统需要把资料按专家领域组织。每个领域不仅保存文本，还输出可被 Agent 调用的分析框架、观察指标、交易含义和风险边界。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54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专家领域</w:t>
            </w:r>
          </w:p>
        </w:tc>
        <w:tc>
          <w:tcPr>
            <w:tcW w:type="dxa" w:w="3402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需要掌握的核心问题</w:t>
            </w:r>
          </w:p>
        </w:tc>
        <w:tc>
          <w:tcPr>
            <w:tcW w:type="dxa" w:w="3628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交易系统中的输出</w:t>
            </w:r>
          </w:p>
        </w:tc>
      </w:tr>
      <w:tr>
        <w:tc>
          <w:tcPr>
            <w:tcW w:type="dxa" w:w="215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宏观经济与货币政策</w:t>
            </w:r>
          </w:p>
        </w:tc>
        <w:tc>
          <w:tcPr>
            <w:tcW w:type="dxa" w:w="340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通胀、利率、央行政策、美元流动性、财政政策、就业、增长、风险偏好。</w:t>
            </w:r>
          </w:p>
        </w:tc>
        <w:tc>
          <w:tcPr>
            <w:tcW w:type="dxa" w:w="36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宏观情景、事件影响、风险资产方向、禁交易窗口。</w:t>
            </w:r>
          </w:p>
        </w:tc>
      </w:tr>
      <w:tr>
        <w:tc>
          <w:tcPr>
            <w:tcW w:type="dxa" w:w="215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微观经济与市场机制</w:t>
            </w:r>
          </w:p>
        </w:tc>
        <w:tc>
          <w:tcPr>
            <w:tcW w:type="dxa" w:w="340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供需、激励、博弈、信息不对称、拍卖、价格发现、市场设计。</w:t>
            </w:r>
          </w:p>
        </w:tc>
        <w:tc>
          <w:tcPr>
            <w:tcW w:type="dxa" w:w="36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交易所机制理解、流动性形成、参与者行为分析。</w:t>
            </w:r>
          </w:p>
        </w:tc>
      </w:tr>
      <w:tr>
        <w:tc>
          <w:tcPr>
            <w:tcW w:type="dxa" w:w="215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金融市场与资本市场</w:t>
            </w:r>
          </w:p>
        </w:tc>
        <w:tc>
          <w:tcPr>
            <w:tcW w:type="dxa" w:w="340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股票、债券、外汇、商品、资金市场、风险溢价、市场参与者。</w:t>
            </w:r>
          </w:p>
        </w:tc>
        <w:tc>
          <w:tcPr>
            <w:tcW w:type="dxa" w:w="36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跨资产联动、风险偏好、相关性和资金流判断。</w:t>
            </w:r>
          </w:p>
        </w:tc>
      </w:tr>
      <w:tr>
        <w:tc>
          <w:tcPr>
            <w:tcW w:type="dxa" w:w="215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资产定价与投资组合</w:t>
            </w:r>
          </w:p>
        </w:tc>
        <w:tc>
          <w:tcPr>
            <w:tcW w:type="dxa" w:w="340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收益/风险、因子、动量、相关性、组合优化、Kelly、回撤管理。</w:t>
            </w:r>
          </w:p>
        </w:tc>
        <w:tc>
          <w:tcPr>
            <w:tcW w:type="dxa" w:w="36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仓位建议、组合敞口、风险收益比、最大回撤约束。</w:t>
            </w:r>
          </w:p>
        </w:tc>
      </w:tr>
      <w:tr>
        <w:tc>
          <w:tcPr>
            <w:tcW w:type="dxa" w:w="215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衍生品与波动率</w:t>
            </w:r>
          </w:p>
        </w:tc>
        <w:tc>
          <w:tcPr>
            <w:tcW w:type="dxa" w:w="340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期货、永续、资金费率、基差、期权、隐含波动率、强平机制。</w:t>
            </w:r>
          </w:p>
        </w:tc>
        <w:tc>
          <w:tcPr>
            <w:tcW w:type="dxa" w:w="36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合约交易限制、杠杆上限、资金费率风险、波动率策略。</w:t>
            </w:r>
          </w:p>
        </w:tc>
      </w:tr>
      <w:tr>
        <w:tc>
          <w:tcPr>
            <w:tcW w:type="dxa" w:w="215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市场微观结构</w:t>
            </w:r>
          </w:p>
        </w:tc>
        <w:tc>
          <w:tcPr>
            <w:tcW w:type="dxa" w:w="340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订单簿、价差、深度、滑点、成交冲击、流动性扫单、止损池。</w:t>
            </w:r>
          </w:p>
        </w:tc>
        <w:tc>
          <w:tcPr>
            <w:tcW w:type="dxa" w:w="36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入场方式、分批执行、滑点保护、假突破识别。</w:t>
            </w:r>
          </w:p>
        </w:tc>
      </w:tr>
      <w:tr>
        <w:tc>
          <w:tcPr>
            <w:tcW w:type="dxa" w:w="215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行为金融与交易心理</w:t>
            </w:r>
          </w:p>
        </w:tc>
        <w:tc>
          <w:tcPr>
            <w:tcW w:type="dxa" w:w="340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过度自信、损失厌恶、FOMO、羊群、锚定、确认偏误、叙事泡沫。</w:t>
            </w:r>
          </w:p>
        </w:tc>
        <w:tc>
          <w:tcPr>
            <w:tcW w:type="dxa" w:w="36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心理风险提醒、过度交易限制、反身性分析。</w:t>
            </w:r>
          </w:p>
        </w:tc>
      </w:tr>
      <w:tr>
        <w:tc>
          <w:tcPr>
            <w:tcW w:type="dxa" w:w="215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系统化与量化交易</w:t>
            </w:r>
          </w:p>
        </w:tc>
        <w:tc>
          <w:tcPr>
            <w:tcW w:type="dxa" w:w="340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信号构建、回测偏差、过拟合、样本外验证、执行成本、策略失效。</w:t>
            </w:r>
          </w:p>
        </w:tc>
        <w:tc>
          <w:tcPr>
            <w:tcW w:type="dxa" w:w="36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策略评估、信号置信度、交易规则测试、失效监控。</w:t>
            </w:r>
          </w:p>
        </w:tc>
      </w:tr>
      <w:tr>
        <w:tc>
          <w:tcPr>
            <w:tcW w:type="dxa" w:w="215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Crypto / DeFi / FinTech</w:t>
            </w:r>
          </w:p>
        </w:tc>
        <w:tc>
          <w:tcPr>
            <w:tcW w:type="dxa" w:w="340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区块链、稳定币、链上数据、DeFi 借贷清算、MEV、ETF、托管监管。</w:t>
            </w:r>
          </w:p>
        </w:tc>
        <w:tc>
          <w:tcPr>
            <w:tcW w:type="dxa" w:w="36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链上风险、资金流、清算风险、项目事件影响。</w:t>
            </w:r>
          </w:p>
        </w:tc>
      </w:tr>
      <w:tr>
        <w:tc>
          <w:tcPr>
            <w:tcW w:type="dxa" w:w="215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风险、危机与金融史</w:t>
            </w:r>
          </w:p>
        </w:tc>
        <w:tc>
          <w:tcPr>
            <w:tcW w:type="dxa" w:w="340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泡沫、崩盘、流动性危机、债务危机、货币危机、交易所风险。</w:t>
            </w:r>
          </w:p>
        </w:tc>
        <w:tc>
          <w:tcPr>
            <w:tcW w:type="dxa" w:w="36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熔断条件、尾部风险、危机场景、去杠杆策略。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4.1 知识层级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8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969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948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L1 经典理论层</w:t>
            </w:r>
          </w:p>
        </w:tc>
        <w:tc>
          <w:tcPr>
            <w:tcW w:type="dxa" w:w="396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长期稳定的金融、经济、交易与风险理论。</w:t>
            </w:r>
          </w:p>
        </w:tc>
        <w:tc>
          <w:tcPr>
            <w:tcW w:type="dxa" w:w="294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形成底层思维模型。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L2 现代教材层</w:t>
            </w:r>
          </w:p>
        </w:tc>
        <w:tc>
          <w:tcPr>
            <w:tcW w:type="dxa" w:w="396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现代金融市场、资产定价、宏观建模、衍生品、市场微观结构教材。</w:t>
            </w:r>
          </w:p>
        </w:tc>
        <w:tc>
          <w:tcPr>
            <w:tcW w:type="dxa" w:w="294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形成系统化专业知识。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L3 前沿研究层</w:t>
            </w:r>
          </w:p>
        </w:tc>
        <w:tc>
          <w:tcPr>
            <w:tcW w:type="dxa" w:w="396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央行、BIS、IMF、NBER、SSRN、arXiv、交易所研究、链上数据报告。</w:t>
            </w:r>
          </w:p>
        </w:tc>
        <w:tc>
          <w:tcPr>
            <w:tcW w:type="dxa" w:w="294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捕捉新变化、新机制和新风险。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L4 市场实战层</w:t>
            </w:r>
          </w:p>
        </w:tc>
        <w:tc>
          <w:tcPr>
            <w:tcW w:type="dxa" w:w="396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交易员访谈、策略手册、基金报告、事件研究、实战案例。</w:t>
            </w:r>
          </w:p>
        </w:tc>
        <w:tc>
          <w:tcPr>
            <w:tcW w:type="dxa" w:w="294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转化为交易原则和执行经验。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L5 个人经验层</w:t>
            </w:r>
          </w:p>
        </w:tc>
        <w:tc>
          <w:tcPr>
            <w:tcW w:type="dxa" w:w="396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用户复盘、禁忌、偏好、授权边界、成功/失败案例。</w:t>
            </w:r>
          </w:p>
        </w:tc>
        <w:tc>
          <w:tcPr>
            <w:tcW w:type="dxa" w:w="294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形成专属交易风格和个性化约束。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1E66F5"/>
          <w:sz w:val="36"/>
        </w:rPr>
        <w:t>5. 总体架构</w:t>
      </w:r>
    </w:p>
    <w:p>
      <w:pPr>
        <w:spacing w:after="12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1"/>
        </w:rPr>
        <w:t>模块以“资料 → 知识 → 框架 → 规则 → 运行时调用 → 复盘写回”为主链路。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F5F9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资料来源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├─ 书籍 / 论文 / 研报 / 链接 / GitHub 仓库 / 个人笔记 / 交易复盘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资料导入与权限标记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解析与结构化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├─ 目录、章节、表格、公式、图表、案例、引用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知识蒸馏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├─ 书籍卡、章节卡、概念卡、理论框架卡、案例卡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专家图谱与冲突观点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├─ 概念关系、适用条件、失效条件、反方观点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交易规则编译器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├─ 软建议 / 硬规则 / 待用户批准规则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运行时专家调用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├─ 行情分析、事件跟进、自主交易前置审查、复盘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审计与持续学习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├─ 调用证据、决策日志、错误归因、版本迭代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5.1 子系统清单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098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子系统</w:t>
            </w:r>
          </w:p>
        </w:tc>
        <w:tc>
          <w:tcPr>
            <w:tcW w:type="dxa" w:w="3969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118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关键产物</w:t>
            </w:r>
          </w:p>
        </w:tc>
      </w:tr>
      <w:tr>
        <w:tc>
          <w:tcPr>
            <w:tcW w:type="dxa" w:w="209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Source Manager</w:t>
            </w:r>
          </w:p>
        </w:tc>
        <w:tc>
          <w:tcPr>
            <w:tcW w:type="dxa" w:w="396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资料导入、权限标记、版本、来源可信度、定时刷新。</w:t>
            </w:r>
          </w:p>
        </w:tc>
        <w:tc>
          <w:tcPr>
            <w:tcW w:type="dxa" w:w="311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source_id、权限记录、版本记录。</w:t>
            </w:r>
          </w:p>
        </w:tc>
      </w:tr>
      <w:tr>
        <w:tc>
          <w:tcPr>
            <w:tcW w:type="dxa" w:w="209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Parser &amp; Normalizer</w:t>
            </w:r>
          </w:p>
        </w:tc>
        <w:tc>
          <w:tcPr>
            <w:tcW w:type="dxa" w:w="396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提取目录、章节、文本、表格、公式、图表说明、参考文献。</w:t>
            </w:r>
          </w:p>
        </w:tc>
        <w:tc>
          <w:tcPr>
            <w:tcW w:type="dxa" w:w="311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结构化文档树、章节块、媒体索引。</w:t>
            </w:r>
          </w:p>
        </w:tc>
      </w:tr>
      <w:tr>
        <w:tc>
          <w:tcPr>
            <w:tcW w:type="dxa" w:w="209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Knowledge Distiller</w:t>
            </w:r>
          </w:p>
        </w:tc>
        <w:tc>
          <w:tcPr>
            <w:tcW w:type="dxa" w:w="396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将资料蒸馏成卡片、摘要、概念、模型、案例。</w:t>
            </w:r>
          </w:p>
        </w:tc>
        <w:tc>
          <w:tcPr>
            <w:tcW w:type="dxa" w:w="311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Book Card、Concept Card、Theory Card、Case Card。</w:t>
            </w:r>
          </w:p>
        </w:tc>
      </w:tr>
      <w:tr>
        <w:tc>
          <w:tcPr>
            <w:tcW w:type="dxa" w:w="209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Framework Compiler</w:t>
            </w:r>
          </w:p>
        </w:tc>
        <w:tc>
          <w:tcPr>
            <w:tcW w:type="dxa" w:w="396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把理论抽象成可调用分析框架。</w:t>
            </w:r>
          </w:p>
        </w:tc>
        <w:tc>
          <w:tcPr>
            <w:tcW w:type="dxa" w:w="311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框架模板、适用/失效条件、观察指标。</w:t>
            </w:r>
          </w:p>
        </w:tc>
      </w:tr>
      <w:tr>
        <w:tc>
          <w:tcPr>
            <w:tcW w:type="dxa" w:w="209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Rule Compiler</w:t>
            </w:r>
          </w:p>
        </w:tc>
        <w:tc>
          <w:tcPr>
            <w:tcW w:type="dxa" w:w="396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把知识转化为交易规则建议。</w:t>
            </w:r>
          </w:p>
        </w:tc>
        <w:tc>
          <w:tcPr>
            <w:tcW w:type="dxa" w:w="311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软建议、硬规则草案、审批任务。</w:t>
            </w:r>
          </w:p>
        </w:tc>
      </w:tr>
      <w:tr>
        <w:tc>
          <w:tcPr>
            <w:tcW w:type="dxa" w:w="209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Expert Graph</w:t>
            </w:r>
          </w:p>
        </w:tc>
        <w:tc>
          <w:tcPr>
            <w:tcW w:type="dxa" w:w="396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构建概念、资产、指标、规则、案例、复盘之间的关系。</w:t>
            </w:r>
          </w:p>
        </w:tc>
        <w:tc>
          <w:tcPr>
            <w:tcW w:type="dxa" w:w="311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知识图谱节点和边。</w:t>
            </w:r>
          </w:p>
        </w:tc>
      </w:tr>
      <w:tr>
        <w:tc>
          <w:tcPr>
            <w:tcW w:type="dxa" w:w="209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Mastery Evaluator</w:t>
            </w:r>
          </w:p>
        </w:tc>
        <w:tc>
          <w:tcPr>
            <w:tcW w:type="dxa" w:w="396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测试 Agent 是否真正掌握某本书或领域。</w:t>
            </w:r>
          </w:p>
        </w:tc>
        <w:tc>
          <w:tcPr>
            <w:tcW w:type="dxa" w:w="311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掌握度评分、测试题、失败项。</w:t>
            </w:r>
          </w:p>
        </w:tc>
      </w:tr>
      <w:tr>
        <w:tc>
          <w:tcPr>
            <w:tcW w:type="dxa" w:w="209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Runtime Retriever</w:t>
            </w:r>
          </w:p>
        </w:tc>
        <w:tc>
          <w:tcPr>
            <w:tcW w:type="dxa" w:w="396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在交易分析时召回相关知识和证据。</w:t>
            </w:r>
          </w:p>
        </w:tc>
        <w:tc>
          <w:tcPr>
            <w:tcW w:type="dxa" w:w="311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analysis_bundle、引用片段、冲突观点。</w:t>
            </w:r>
          </w:p>
        </w:tc>
      </w:tr>
      <w:tr>
        <w:tc>
          <w:tcPr>
            <w:tcW w:type="dxa" w:w="209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Governance &amp; Audit</w:t>
            </w:r>
          </w:p>
        </w:tc>
        <w:tc>
          <w:tcPr>
            <w:tcW w:type="dxa" w:w="396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版权、权限、安全、审计、版本回滚和风险控制。</w:t>
            </w:r>
          </w:p>
        </w:tc>
        <w:tc>
          <w:tcPr>
            <w:tcW w:type="dxa" w:w="311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审计日志、权限记录、风险拦截。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1E66F5"/>
          <w:sz w:val="36"/>
        </w:rPr>
        <w:t>6. 功能需求清单</w:t>
      </w:r>
    </w:p>
    <w:p>
      <w:pPr>
        <w:spacing w:after="12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1"/>
        </w:rPr>
        <w:t>优先级定义：P0 为 MVP 必须；P1 为重要增强；P2 为高级能力。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6.1 资料导入与权限治理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020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309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1020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835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FR-01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支持导入 PDF、EPUB、DOCX、Markdown、HTML、CSV、网页链接、RSS、GitHub 仓库、个人笔记和复盘文件。</w:t>
            </w:r>
          </w:p>
        </w:tc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P0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用户可上传或输入链接；系统生成导入任务和来源记录。</w:t>
            </w:r>
          </w:p>
        </w:tc>
      </w:tr>
      <w:tr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FR-02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每个资料必须记录来源、类型、权限、版权/使用范围、导入人、导入时间和可见范围。</w:t>
            </w:r>
          </w:p>
        </w:tc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P0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无权限元数据的资料不得进入正式知识库。</w:t>
            </w:r>
          </w:p>
        </w:tc>
      </w:tr>
      <w:tr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FR-03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支持链接深度解析，可配置只读当前页、一级子链接、同域相关链接或人工确认清单。</w:t>
            </w:r>
          </w:p>
        </w:tc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P0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系统显示抓取范围、已抓页面、失败页面和跳过原因。</w:t>
            </w:r>
          </w:p>
        </w:tc>
      </w:tr>
      <w:tr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FR-04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支持 GitHub/ClawHub/Skill 工具辅助解析，但外部工具不得直接访问交易 API Secret。</w:t>
            </w:r>
          </w:p>
        </w:tc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P1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安装工具需展示权限声明、版本、来源和审计日志。</w:t>
            </w:r>
          </w:p>
        </w:tc>
      </w:tr>
      <w:tr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FR-05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支持资料重抓和版本对比，识别新增、删除、改写内容。</w:t>
            </w:r>
          </w:p>
        </w:tc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P1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用户可查看差异、选择合并或回滚。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6.2 解析与结构化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020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309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1020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835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FR-06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自动识别书籍/资料结构，包括封面信息、目录、章节、标题层级、正文、脚注、参考文献。</w:t>
            </w:r>
          </w:p>
        </w:tc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P0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书籍详情页可展示结构化目录树。</w:t>
            </w:r>
          </w:p>
        </w:tc>
      </w:tr>
      <w:tr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FR-07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提取表格、公式、图表说明和案例，并与所在章节建立引用关系。</w:t>
            </w:r>
          </w:p>
        </w:tc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P1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用户可在章节页查看表格/公式/图表索引。</w:t>
            </w:r>
          </w:p>
        </w:tc>
      </w:tr>
      <w:tr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FR-08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对低质量 PDF 或扫描文件进行质量检测，标记解析风险。</w:t>
            </w:r>
          </w:p>
        </w:tc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P1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低置信度内容不得自动生成硬规则。</w:t>
            </w:r>
          </w:p>
        </w:tc>
      </w:tr>
      <w:tr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FR-09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支持按领域、资产、市场、策略、风险类型进行自动标签分类。</w:t>
            </w:r>
          </w:p>
        </w:tc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P0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至少输出主领域、次领域、相关资产和知识类型标签。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6.3 知识蒸馏与卡片生成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020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309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1020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835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FR-10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为每本书或资料生成“书籍知识卡”：核心问题、主要理论、适用场景、局限性、交易启发。</w:t>
            </w:r>
          </w:p>
        </w:tc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P0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每本资料至少生成一张总卡，且可编辑。</w:t>
            </w:r>
          </w:p>
        </w:tc>
      </w:tr>
      <w:tr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FR-11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生成章节卡：章节摘要、关键概念、公式/图表、案例、交易相关性。</w:t>
            </w:r>
          </w:p>
        </w:tc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P0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用户可按章节查看摘要和关键卡片。</w:t>
            </w:r>
          </w:p>
        </w:tc>
      </w:tr>
      <w:tr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FR-12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生成概念卡：定义、来源、适用条件、失效条件、观察指标、交易含义。</w:t>
            </w:r>
          </w:p>
        </w:tc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P0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概念卡可被运行时分析召回。</w:t>
            </w:r>
          </w:p>
        </w:tc>
      </w:tr>
      <w:tr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FR-13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生成理论框架卡：输入变量、推理链、适用市场、反例、交易动作映射。</w:t>
            </w:r>
          </w:p>
        </w:tc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P0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框架卡可用于专家报告模板。</w:t>
            </w:r>
          </w:p>
        </w:tc>
      </w:tr>
      <w:tr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FR-14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生成案例卡：历史背景、市场状态、因果链、结果、与当前市场的可比性。</w:t>
            </w:r>
          </w:p>
        </w:tc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P1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案例可被事件分析和复盘调用。</w:t>
            </w:r>
          </w:p>
        </w:tc>
      </w:tr>
      <w:tr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FR-15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识别冲突观点：不同理论或资料对同一问题的相反结论。</w:t>
            </w:r>
          </w:p>
        </w:tc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P1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冲突观点页显示双方观点、来源和适用条件。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6.4 交易规则转化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020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309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1020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835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FR-16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从资料中提炼交易启发，并区分“解释性知识”“软建议”“可审批硬规则”。</w:t>
            </w:r>
          </w:p>
        </w:tc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P0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每条交易启发必须有来源和置信度。</w:t>
            </w:r>
          </w:p>
        </w:tc>
      </w:tr>
      <w:tr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FR-17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硬规则草案必须包含触发条件、适用范围、动作、例外条件、风控等级和来源。</w:t>
            </w:r>
          </w:p>
        </w:tc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P0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未填写完整字段不得提交审批。</w:t>
            </w:r>
          </w:p>
        </w:tc>
      </w:tr>
      <w:tr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FR-18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硬规则必须经用户批准后才能进入风控系统。</w:t>
            </w:r>
          </w:p>
        </w:tc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P0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未批准规则不能阻止或触发真实交易。</w:t>
            </w:r>
          </w:p>
        </w:tc>
      </w:tr>
      <w:tr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FR-19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规则可设为观察、提醒、限制、禁止、熔断五类动作。</w:t>
            </w:r>
          </w:p>
        </w:tc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P0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风控页可查看每条规则的动作等级。</w:t>
            </w:r>
          </w:p>
        </w:tc>
      </w:tr>
      <w:tr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FR-20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复盘结果可反向调整规则权重，但升为硬规则仍需人工确认。</w:t>
            </w:r>
          </w:p>
        </w:tc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P1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每次权重变化有审计记录。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6.5 专家掌握度与测试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020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309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1020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835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FR-21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每本书生成掌握度测试，包括概念解释、案例应用、反方观点、交易转化和风险边界。</w:t>
            </w:r>
          </w:p>
        </w:tc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P1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测试题与答案均可追溯到来源。</w:t>
            </w:r>
          </w:p>
        </w:tc>
      </w:tr>
      <w:tr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FR-22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系统给出掌握度评分：未解析、已摘要、已卡片化、已入图谱、已通过测试、已运行时验证。</w:t>
            </w:r>
          </w:p>
        </w:tc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P1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书籍库列表显示掌握状态。</w:t>
            </w:r>
          </w:p>
        </w:tc>
      </w:tr>
      <w:tr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FR-23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允许用户纠正 Agent 的误解，并将纠正写入个人经验层。</w:t>
            </w:r>
          </w:p>
        </w:tc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P0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用户修正内容优先级高于普通资料。</w:t>
            </w:r>
          </w:p>
        </w:tc>
      </w:tr>
      <w:tr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FR-24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定期发现过期知识、低可信来源和与最新研究冲突的知识。</w:t>
            </w:r>
          </w:p>
        </w:tc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P1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系统生成“待复核知识”列表。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6.6 运行时专家调用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020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309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1020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835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FR-25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当用户提问、事件触发、交易计划生成或自主交易前置审查时，自动识别问题类型并召回专家知识。</w:t>
            </w:r>
          </w:p>
        </w:tc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P0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分析报告显示调用的领域和框架。</w:t>
            </w:r>
          </w:p>
        </w:tc>
      </w:tr>
      <w:tr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FR-26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支持专家委员会：宏观、微观、衍生品、市场微观结构、行为金融、Crypto、量化、风控、反方质疑。</w:t>
            </w:r>
          </w:p>
        </w:tc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P1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重大交易可生成多专家意见摘要。</w:t>
            </w:r>
          </w:p>
        </w:tc>
      </w:tr>
      <w:tr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FR-27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输出专家级分析报告：核心结论、宏观、市场结构、理论框架、交易计划、风险与反方、证据链。</w:t>
            </w:r>
          </w:p>
        </w:tc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P0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报告可导出并绑定交易决策。</w:t>
            </w:r>
          </w:p>
        </w:tc>
      </w:tr>
      <w:tr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FR-28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每次运行时调用生成 analysis_bundle_id，记录问题、召回知识、推理摘要、反方观点和风控结果。</w:t>
            </w:r>
          </w:p>
        </w:tc>
        <w:tc>
          <w:tcPr>
            <w:tcW w:type="dxa" w:w="102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P0</w:t>
            </w:r>
          </w:p>
        </w:tc>
        <w:tc>
          <w:tcPr>
            <w:tcW w:type="dxa" w:w="28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审计页可查询任意交易对应的知识调用记录。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1E66F5"/>
          <w:sz w:val="36"/>
        </w:rPr>
        <w:t>7. 运行时专家分析流程</w:t>
      </w:r>
    </w:p>
    <w:p>
      <w:pPr>
        <w:spacing w:after="12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1"/>
        </w:rPr>
        <w:t>运行时调用必须服务于实际交易问题，而不是机械引用书本。系统需要先识别问题类型，再调用相关框架并生成交易级结论。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F5F9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触发源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├─ 用户提问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├─ 自主交易计划生成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├─ 重要事件进度更新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├─ 仓位风险变化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├─ 定时任务扫描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问题分类器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├─ 宏观 / 衍生品 / 市场结构 / 行为金融 / 链上 / 风控 / 组合风险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专家知识召回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├─ 概念卡、理论卡、规则、历史案例、个人复盘、实时数据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专家委员会分析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├─ 支持观点、反方观点、适用条件、失效条件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交易含义转化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├─ 可交易 / 仅观察 / 降低仓位 / 禁止开仓 / 熔断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输出与审计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├─ 专家报告、交易计划、风控结果、analysis_bundle_id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7.1 专家级分析报告模板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6917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必填内容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一、核心结论</w:t>
            </w:r>
          </w:p>
        </w:tc>
        <w:tc>
          <w:tcPr>
            <w:tcW w:type="dxa" w:w="6917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当前市场状态、主要驱动因素、交易倾向、置信度、是否允许自主交易。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二、宏观分析</w:t>
            </w:r>
          </w:p>
        </w:tc>
        <w:tc>
          <w:tcPr>
            <w:tcW w:type="dxa" w:w="6917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利率、美元、流动性、通胀预期、央行事件、风险资产环境。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三、市场结构分析</w:t>
            </w:r>
          </w:p>
        </w:tc>
        <w:tc>
          <w:tcPr>
            <w:tcW w:type="dxa" w:w="6917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趋势、成交量、资金费率、OI、爆仓、订单簿、链上资金流。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四、理论框架调用</w:t>
            </w:r>
          </w:p>
        </w:tc>
        <w:tc>
          <w:tcPr>
            <w:tcW w:type="dxa" w:w="6917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调用了哪些经典/现代/前沿理论，为什么适用，哪里可能失效。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五、交易计划</w:t>
            </w:r>
          </w:p>
        </w:tc>
        <w:tc>
          <w:tcPr>
            <w:tcW w:type="dxa" w:w="6917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方向、入场区间、止损、止盈、仓位、杠杆、失效条件。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六、风险与反方观点</w:t>
            </w:r>
          </w:p>
        </w:tc>
        <w:tc>
          <w:tcPr>
            <w:tcW w:type="dxa" w:w="6917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最大风险、反方情景、推翻条件、是否降低授权权限。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七、证据链</w:t>
            </w:r>
          </w:p>
        </w:tc>
        <w:tc>
          <w:tcPr>
            <w:tcW w:type="dxa" w:w="6917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来源资料、概念卡、规则、实时市场数据、历史复盘和审计记录。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7.2 示例：CPI 前 BTC 自主交易审查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F5F9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问题：CPI 公布前，BTC/USDT 是否允许开多？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系统调用：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- 宏观框架：通胀预期、实际利率、央行反应函数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- 衍生品框架：资金费率、OI、合约拥挤度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- 市场微观结构：事件前流动性、滑点、止损池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- 行为金融：事件前押注、FOMO、叙事拥挤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- 个人规则：重大数据前 N 分钟是否禁止开仓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可能输出：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- 结论：事件公布前不主动开新仓；已有低杠杆仓位保留但收紧风险。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- 条件：公布后等待首轮波动结束，重新评估订单簿和资金费率。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- 风控：若资金费率和 OI 同时过热，禁止追多。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1E66F5"/>
          <w:sz w:val="36"/>
        </w:rPr>
        <w:t>8. 与自主交易系统的联动</w:t>
      </w:r>
    </w:p>
    <w:p>
      <w:pPr>
        <w:spacing w:after="12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1"/>
        </w:rPr>
        <w:t>该模块不直接下单，而是为 AI 交易员和风控官提供专家知识、规则约束和证据链。自主交易动作仍由交易计划、授权委托、风控引擎和交易所执行器完成。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701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联动点</w:t>
            </w:r>
          </w:p>
        </w:tc>
        <w:tc>
          <w:tcPr>
            <w:tcW w:type="dxa" w:w="7483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交易前</w:t>
            </w:r>
          </w:p>
        </w:tc>
        <w:tc>
          <w:tcPr>
            <w:tcW w:type="dxa" w:w="7483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每个自主交易计划必须调用专家知识库生成 analysis_bundle_id；若知识库不可用，系统根据风险配置决定降级为保守模式或禁止交易。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交易中</w:t>
            </w:r>
          </w:p>
        </w:tc>
        <w:tc>
          <w:tcPr>
            <w:tcW w:type="dxa" w:w="7483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持仓管理可调用知识规则，例如重大事件临近、资金费率过热、流动性突然消失时触发减仓或保护。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交易后</w:t>
            </w:r>
          </w:p>
        </w:tc>
        <w:tc>
          <w:tcPr>
            <w:tcW w:type="dxa" w:w="7483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复盘员将盈亏归因、错误标签和新的经验写回个人经验层。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风控</w:t>
            </w:r>
          </w:p>
        </w:tc>
        <w:tc>
          <w:tcPr>
            <w:tcW w:type="dxa" w:w="7483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只有用户批准的硬规则才能进入风控引擎；外部资料只能生成待审批规则或软建议。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审计</w:t>
            </w:r>
          </w:p>
        </w:tc>
        <w:tc>
          <w:tcPr>
            <w:tcW w:type="dxa" w:w="7483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每次真实交易必须记录：调用了哪些知识、哪些规则通过/拦截、哪些反方观点被忽略、最终谁批准或系统如何授权。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8.1 知识规则等级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134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2268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5783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交易系统动作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L0</w:t>
            </w:r>
          </w:p>
        </w:tc>
        <w:tc>
          <w:tcPr>
            <w:tcW w:type="dxa" w:w="226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解释性知识</w:t>
            </w:r>
          </w:p>
        </w:tc>
        <w:tc>
          <w:tcPr>
            <w:tcW w:type="dxa" w:w="5783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仅用于理解和报告，不影响交易。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L1</w:t>
            </w:r>
          </w:p>
        </w:tc>
        <w:tc>
          <w:tcPr>
            <w:tcW w:type="dxa" w:w="226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软建议</w:t>
            </w:r>
          </w:p>
        </w:tc>
        <w:tc>
          <w:tcPr>
            <w:tcW w:type="dxa" w:w="5783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在报告中提示，但不自动拦截。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L2</w:t>
            </w:r>
          </w:p>
        </w:tc>
        <w:tc>
          <w:tcPr>
            <w:tcW w:type="dxa" w:w="226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提醒规则</w:t>
            </w:r>
          </w:p>
        </w:tc>
        <w:tc>
          <w:tcPr>
            <w:tcW w:type="dxa" w:w="5783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触发时提示用户或 AI 交易员复核。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L3</w:t>
            </w:r>
          </w:p>
        </w:tc>
        <w:tc>
          <w:tcPr>
            <w:tcW w:type="dxa" w:w="226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限制规则</w:t>
            </w:r>
          </w:p>
        </w:tc>
        <w:tc>
          <w:tcPr>
            <w:tcW w:type="dxa" w:w="5783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降低仓位、降低杠杆、要求更严格条件。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L4</w:t>
            </w:r>
          </w:p>
        </w:tc>
        <w:tc>
          <w:tcPr>
            <w:tcW w:type="dxa" w:w="226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禁止规则</w:t>
            </w:r>
          </w:p>
        </w:tc>
        <w:tc>
          <w:tcPr>
            <w:tcW w:type="dxa" w:w="5783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在指定条件下禁止新开仓或禁止某方向交易。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L5</w:t>
            </w:r>
          </w:p>
        </w:tc>
        <w:tc>
          <w:tcPr>
            <w:tcW w:type="dxa" w:w="226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熔断规则</w:t>
            </w:r>
          </w:p>
        </w:tc>
        <w:tc>
          <w:tcPr>
            <w:tcW w:type="dxa" w:w="5783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停止自主交易、撤单、转入保护状态。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1E66F5"/>
          <w:sz w:val="36"/>
        </w:rPr>
        <w:t>9. 页面与交互需求</w:t>
      </w:r>
    </w:p>
    <w:p>
      <w:pPr>
        <w:spacing w:after="12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1"/>
        </w:rPr>
        <w:t>新增一级导航建议命名为“专家知识库”。内部页面应减少密度，按任务分组展示。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28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4535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核心内容</w:t>
            </w:r>
          </w:p>
        </w:tc>
        <w:tc>
          <w:tcPr>
            <w:tcW w:type="dxa" w:w="2721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关键操作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专家知识库总览</w:t>
            </w:r>
          </w:p>
        </w:tc>
        <w:tc>
          <w:tcPr>
            <w:tcW w:type="dxa" w:w="45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资料总数、掌握状态、待处理资料、待审批规则、过期知识、冲突观点、最近运行时调用。</w:t>
            </w:r>
          </w:p>
        </w:tc>
        <w:tc>
          <w:tcPr>
            <w:tcW w:type="dxa" w:w="272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导入资料、查看待办、进入知识图谱。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书籍库</w:t>
            </w:r>
          </w:p>
        </w:tc>
        <w:tc>
          <w:tcPr>
            <w:tcW w:type="dxa" w:w="45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经典书架、最新书架、前沿研究架、个人经验层；每本资料显示解析状态和掌握度。</w:t>
            </w:r>
          </w:p>
        </w:tc>
        <w:tc>
          <w:tcPr>
            <w:tcW w:type="dxa" w:w="272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上传、分类、编辑权限、重抓、归档。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书籍详情</w:t>
            </w:r>
          </w:p>
        </w:tc>
        <w:tc>
          <w:tcPr>
            <w:tcW w:type="dxa" w:w="45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元数据、目录、章节摘要、概念卡、理论卡、案例卡、交易启发。</w:t>
            </w:r>
          </w:p>
        </w:tc>
        <w:tc>
          <w:tcPr>
            <w:tcW w:type="dxa" w:w="272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编辑卡片、标记错误、生成测试。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概念图谱</w:t>
            </w:r>
          </w:p>
        </w:tc>
        <w:tc>
          <w:tcPr>
            <w:tcW w:type="dxa" w:w="45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概念、理论、指标、资产、规则、案例之间的关系图。</w:t>
            </w:r>
          </w:p>
        </w:tc>
        <w:tc>
          <w:tcPr>
            <w:tcW w:type="dxa" w:w="272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搜索、筛选、展开关系、查看证据。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交易规则库</w:t>
            </w:r>
          </w:p>
        </w:tc>
        <w:tc>
          <w:tcPr>
            <w:tcW w:type="dxa" w:w="45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软建议、硬规则草案、已批准规则、风控状态。</w:t>
            </w:r>
          </w:p>
        </w:tc>
        <w:tc>
          <w:tcPr>
            <w:tcW w:type="dxa" w:w="272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批准、禁用、调权重、查看触发记录。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冲突观点库</w:t>
            </w:r>
          </w:p>
        </w:tc>
        <w:tc>
          <w:tcPr>
            <w:tcW w:type="dxa" w:w="45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理论冲突、资料冲突、用户经验冲突、过期冲突。</w:t>
            </w:r>
          </w:p>
        </w:tc>
        <w:tc>
          <w:tcPr>
            <w:tcW w:type="dxa" w:w="272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选择适用场景、标记优先级。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前沿研究跟进</w:t>
            </w:r>
          </w:p>
        </w:tc>
        <w:tc>
          <w:tcPr>
            <w:tcW w:type="dxa" w:w="45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订阅源、定时任务、最新摘要、重要变化、需要复核内容。</w:t>
            </w:r>
          </w:p>
        </w:tc>
        <w:tc>
          <w:tcPr>
            <w:tcW w:type="dxa" w:w="272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新增订阅、设置频率、生成周报。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掌握度测试</w:t>
            </w:r>
          </w:p>
        </w:tc>
        <w:tc>
          <w:tcPr>
            <w:tcW w:type="dxa" w:w="45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测试题、得分、薄弱领域、未掌握概念。</w:t>
            </w:r>
          </w:p>
        </w:tc>
        <w:tc>
          <w:tcPr>
            <w:tcW w:type="dxa" w:w="272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重新测试、生成学习任务。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运行时证据面板</w:t>
            </w:r>
          </w:p>
        </w:tc>
        <w:tc>
          <w:tcPr>
            <w:tcW w:type="dxa" w:w="45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某次分析或交易调用的知识、框架、规则、反方观点和审计记录。</w:t>
            </w:r>
          </w:p>
        </w:tc>
        <w:tc>
          <w:tcPr>
            <w:tcW w:type="dxa" w:w="272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查看详情、导出报告、写入复盘。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9.1 导入流程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用户选择导入来源：上传文件、输入链接、GitHub 仓库、RSS/订阅源、手动笔记。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系统要求用户选择权限类型：自有资料、公开资料、授权资料、仅个人使用、不可引用原文等。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系统显示解析预估：页数、章节、图片/表格数量、潜在版权限制、预计处理时间。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导入完成后进入待处理列表，用户可查看解析结果。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AI 研究员生成卡片和规则草案，用户确认后进入正式知识库。</w:t>
      </w:r>
    </w:p>
    <w:p>
      <w:pPr>
        <w:pStyle w:val="Heading1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1E66F5"/>
          <w:sz w:val="36"/>
        </w:rPr>
        <w:t>10. 数据模型</w:t>
      </w:r>
    </w:p>
    <w:p>
      <w:pPr>
        <w:spacing w:after="12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1"/>
        </w:rPr>
        <w:t>以下为概念数据模型，工程实现可根据数据库选型拆分为关系库、对象存储、向量库和图数据库。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28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实体</w:t>
            </w:r>
          </w:p>
        </w:tc>
        <w:tc>
          <w:tcPr>
            <w:tcW w:type="dxa" w:w="4252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关键字段</w:t>
            </w:r>
          </w:p>
        </w:tc>
        <w:tc>
          <w:tcPr>
            <w:tcW w:type="dxa" w:w="3005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说明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knowledge_sources</w:t>
            </w:r>
          </w:p>
        </w:tc>
        <w:tc>
          <w:tcPr>
            <w:tcW w:type="dxa" w:w="425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source_id, title, source_type, author, publisher, url, import_time, permission_type, owner_user_id, trust_score, status</w:t>
            </w:r>
          </w:p>
        </w:tc>
        <w:tc>
          <w:tcPr>
            <w:tcW w:type="dxa" w:w="300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资料来源主表。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source_versions</w:t>
            </w:r>
          </w:p>
        </w:tc>
        <w:tc>
          <w:tcPr>
            <w:tcW w:type="dxa" w:w="425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version_id, source_id, version_no, checksum, imported_at, diff_summary, status</w:t>
            </w:r>
          </w:p>
        </w:tc>
        <w:tc>
          <w:tcPr>
            <w:tcW w:type="dxa" w:w="300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资料版本与重抓记录。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document_nodes</w:t>
            </w:r>
          </w:p>
        </w:tc>
        <w:tc>
          <w:tcPr>
            <w:tcW w:type="dxa" w:w="425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node_id, source_id, parent_id, node_type, title, order_index, page_range, text_ref</w:t>
            </w:r>
          </w:p>
        </w:tc>
        <w:tc>
          <w:tcPr>
            <w:tcW w:type="dxa" w:w="300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目录、章节、段落、表格、公式、图表等结构树。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knowledge_chunks</w:t>
            </w:r>
          </w:p>
        </w:tc>
        <w:tc>
          <w:tcPr>
            <w:tcW w:type="dxa" w:w="425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chunk_id, source_id, node_id, text, embedding_ref, citation_locator, quality_score</w:t>
            </w:r>
          </w:p>
        </w:tc>
        <w:tc>
          <w:tcPr>
            <w:tcW w:type="dxa" w:w="300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RAG 检索基础单元。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book_cards</w:t>
            </w:r>
          </w:p>
        </w:tc>
        <w:tc>
          <w:tcPr>
            <w:tcW w:type="dxa" w:w="425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book_card_id, source_id, domain, core_question, key_models, limitations, trading_implications, mastery_state</w:t>
            </w:r>
          </w:p>
        </w:tc>
        <w:tc>
          <w:tcPr>
            <w:tcW w:type="dxa" w:w="300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书籍级知识卡。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concept_cards</w:t>
            </w:r>
          </w:p>
        </w:tc>
        <w:tc>
          <w:tcPr>
            <w:tcW w:type="dxa" w:w="425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concept_id, name, definition, source_refs, applicable_conditions, invalidation_conditions, indicators, trading_meaning</w:t>
            </w:r>
          </w:p>
        </w:tc>
        <w:tc>
          <w:tcPr>
            <w:tcW w:type="dxa" w:w="300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概念卡。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theory_frameworks</w:t>
            </w:r>
          </w:p>
        </w:tc>
        <w:tc>
          <w:tcPr>
            <w:tcW w:type="dxa" w:w="425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framework_id, name, domain, inputs, reasoning_steps, outputs, applicable_market, failure_modes, opposing_views</w:t>
            </w:r>
          </w:p>
        </w:tc>
        <w:tc>
          <w:tcPr>
            <w:tcW w:type="dxa" w:w="300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理论框架卡。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case_cards</w:t>
            </w:r>
          </w:p>
        </w:tc>
        <w:tc>
          <w:tcPr>
            <w:tcW w:type="dxa" w:w="425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case_id, name, market_context, causal_chain, result, comparable_conditions, source_refs</w:t>
            </w:r>
          </w:p>
        </w:tc>
        <w:tc>
          <w:tcPr>
            <w:tcW w:type="dxa" w:w="300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历史案例卡。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trading_rules</w:t>
            </w:r>
          </w:p>
        </w:tc>
        <w:tc>
          <w:tcPr>
            <w:tcW w:type="dxa" w:w="425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rule_id, name, rule_level, trigger_condition, action, scope, source_refs, approval_status, enabled, version</w:t>
            </w:r>
          </w:p>
        </w:tc>
        <w:tc>
          <w:tcPr>
            <w:tcW w:type="dxa" w:w="300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交易规则表。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knowledge_conflicts</w:t>
            </w:r>
          </w:p>
        </w:tc>
        <w:tc>
          <w:tcPr>
            <w:tcW w:type="dxa" w:w="425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conflict_id, topic, side_a, side_b, applicable_context, resolution, status</w:t>
            </w:r>
          </w:p>
        </w:tc>
        <w:tc>
          <w:tcPr>
            <w:tcW w:type="dxa" w:w="300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冲突观点与处理结论。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expert_graph_nodes</w:t>
            </w:r>
          </w:p>
        </w:tc>
        <w:tc>
          <w:tcPr>
            <w:tcW w:type="dxa" w:w="425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node_id, node_type, label, ref_id, weight</w:t>
            </w:r>
          </w:p>
        </w:tc>
        <w:tc>
          <w:tcPr>
            <w:tcW w:type="dxa" w:w="300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知识图谱节点。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expert_graph_edges</w:t>
            </w:r>
          </w:p>
        </w:tc>
        <w:tc>
          <w:tcPr>
            <w:tcW w:type="dxa" w:w="425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edge_id, from_node, to_node, relation_type, confidence, source_refs</w:t>
            </w:r>
          </w:p>
        </w:tc>
        <w:tc>
          <w:tcPr>
            <w:tcW w:type="dxa" w:w="300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知识图谱关系。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mastery_tests</w:t>
            </w:r>
          </w:p>
        </w:tc>
        <w:tc>
          <w:tcPr>
            <w:tcW w:type="dxa" w:w="425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test_id, source_id, domain, score, status, generated_at, reviewed_by</w:t>
            </w:r>
          </w:p>
        </w:tc>
        <w:tc>
          <w:tcPr>
            <w:tcW w:type="dxa" w:w="300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掌握度测试。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analysis_bundles</w:t>
            </w:r>
          </w:p>
        </w:tc>
        <w:tc>
          <w:tcPr>
            <w:tcW w:type="dxa" w:w="425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bundle_id, trigger_type, question, retrieved_refs, expert_votes, risk_result, final_summary, created_at</w:t>
            </w:r>
          </w:p>
        </w:tc>
        <w:tc>
          <w:tcPr>
            <w:tcW w:type="dxa" w:w="300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运行时专家分析证据包。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runtime_citations</w:t>
            </w:r>
          </w:p>
        </w:tc>
        <w:tc>
          <w:tcPr>
            <w:tcW w:type="dxa" w:w="425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citation_id, bundle_id, ref_type, ref_id, reason, confidence</w:t>
            </w:r>
          </w:p>
        </w:tc>
        <w:tc>
          <w:tcPr>
            <w:tcW w:type="dxa" w:w="300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5"/>
              </w:rPr>
              <w:t>分析报告中的引用与证据链。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1E66F5"/>
          <w:sz w:val="36"/>
        </w:rPr>
        <w:t>11. API 与集成需求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11.1 内部 API 概念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402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1247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4535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/knowledge/sources/import</w:t>
            </w:r>
          </w:p>
        </w:tc>
        <w:tc>
          <w:tcPr>
            <w:tcW w:type="dxa" w:w="1247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POST</w:t>
            </w:r>
          </w:p>
        </w:tc>
        <w:tc>
          <w:tcPr>
            <w:tcW w:type="dxa" w:w="45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创建资料导入任务。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/knowledge/sources/{id}</w:t>
            </w:r>
          </w:p>
        </w:tc>
        <w:tc>
          <w:tcPr>
            <w:tcW w:type="dxa" w:w="1247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GET</w:t>
            </w:r>
          </w:p>
        </w:tc>
        <w:tc>
          <w:tcPr>
            <w:tcW w:type="dxa" w:w="45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查看资料详情、权限、版本和处理状态。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/knowledge/sources/{id}/parse</w:t>
            </w:r>
          </w:p>
        </w:tc>
        <w:tc>
          <w:tcPr>
            <w:tcW w:type="dxa" w:w="1247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POST</w:t>
            </w:r>
          </w:p>
        </w:tc>
        <w:tc>
          <w:tcPr>
            <w:tcW w:type="dxa" w:w="45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触发解析任务。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/knowledge/cards/book/{source_id}</w:t>
            </w:r>
          </w:p>
        </w:tc>
        <w:tc>
          <w:tcPr>
            <w:tcW w:type="dxa" w:w="1247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GET</w:t>
            </w:r>
          </w:p>
        </w:tc>
        <w:tc>
          <w:tcPr>
            <w:tcW w:type="dxa" w:w="45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获取书籍知识卡。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/knowledge/cards/concept</w:t>
            </w:r>
          </w:p>
        </w:tc>
        <w:tc>
          <w:tcPr>
            <w:tcW w:type="dxa" w:w="1247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GET/POST</w:t>
            </w:r>
          </w:p>
        </w:tc>
        <w:tc>
          <w:tcPr>
            <w:tcW w:type="dxa" w:w="45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查询或创建概念卡。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/knowledge/frameworks</w:t>
            </w:r>
          </w:p>
        </w:tc>
        <w:tc>
          <w:tcPr>
            <w:tcW w:type="dxa" w:w="1247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GET/POST</w:t>
            </w:r>
          </w:p>
        </w:tc>
        <w:tc>
          <w:tcPr>
            <w:tcW w:type="dxa" w:w="45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查询或创建理论框架。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/knowledge/rules/proposals</w:t>
            </w:r>
          </w:p>
        </w:tc>
        <w:tc>
          <w:tcPr>
            <w:tcW w:type="dxa" w:w="1247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GET/POST</w:t>
            </w:r>
          </w:p>
        </w:tc>
        <w:tc>
          <w:tcPr>
            <w:tcW w:type="dxa" w:w="45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查询或提交交易规则草案。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/knowledge/rules/{id}/approve</w:t>
            </w:r>
          </w:p>
        </w:tc>
        <w:tc>
          <w:tcPr>
            <w:tcW w:type="dxa" w:w="1247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POST</w:t>
            </w:r>
          </w:p>
        </w:tc>
        <w:tc>
          <w:tcPr>
            <w:tcW w:type="dxa" w:w="45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批准规则进入风控系统。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/knowledge/runtime/query</w:t>
            </w:r>
          </w:p>
        </w:tc>
        <w:tc>
          <w:tcPr>
            <w:tcW w:type="dxa" w:w="1247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POST</w:t>
            </w:r>
          </w:p>
        </w:tc>
        <w:tc>
          <w:tcPr>
            <w:tcW w:type="dxa" w:w="45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运行时专家知识召回。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/knowledge/analysis-bundles/{id}</w:t>
            </w:r>
          </w:p>
        </w:tc>
        <w:tc>
          <w:tcPr>
            <w:tcW w:type="dxa" w:w="1247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GET</w:t>
            </w:r>
          </w:p>
        </w:tc>
        <w:tc>
          <w:tcPr>
            <w:tcW w:type="dxa" w:w="45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查看某次分析证据包。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/knowledge/mastery-tests</w:t>
            </w:r>
          </w:p>
        </w:tc>
        <w:tc>
          <w:tcPr>
            <w:tcW w:type="dxa" w:w="1247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POST</w:t>
            </w:r>
          </w:p>
        </w:tc>
        <w:tc>
          <w:tcPr>
            <w:tcW w:type="dxa" w:w="45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生成掌握度测试。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/knowledge/conflicts</w:t>
            </w:r>
          </w:p>
        </w:tc>
        <w:tc>
          <w:tcPr>
            <w:tcW w:type="dxa" w:w="1247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GET</w:t>
            </w:r>
          </w:p>
        </w:tc>
        <w:tc>
          <w:tcPr>
            <w:tcW w:type="dxa" w:w="4535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查看冲突观点。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11.2 运行时调用入参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F5F9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"trigger_type": "autonomous_trade_precheck | user_question | event_update | risk_alert | review",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"question": "CPI 公布前 BTC/USDT 是否允许开多？",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"market_context": 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  "symbol": "BTC/USDT",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  "timeframe": "1h/4h/1d",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  "price": 67892.01,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  "funding_rate": "...",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  "open_interest": "...",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  "event": "CPI"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},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"user_profile": 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  "risk_mode": "medium",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  "autonomous_mandate_id": "..."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},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"required_domains": ["macro", "derivatives", "microstructure", "risk"]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}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11.3 运行时调用出参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F5F9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"analysis_bundle_id": "ab_123",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"summary": "事件前不建议追多，建议等待数据公布后重新评估。",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"expert_views": [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  {"domain": "macro", "view": "CPI 具有跳跃风险", "confidence": 0.78},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  {"domain": "derivatives", "view": "资金费率偏热", "confidence": 0.72}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],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"rules_triggered": [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  {"rule_id": "r_001", "level": "L4", "action": "禁止事件前新开仓"}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],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"trading_implication": "observe_only | allow_small_position | reduce_risk | prohibit_trade",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"citations": ["concept_101", "framework_209", "review_332"]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}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1E66F5"/>
          <w:sz w:val="36"/>
        </w:rPr>
        <w:t>12. 非功能需求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370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81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准确性</w:t>
            </w:r>
          </w:p>
        </w:tc>
        <w:tc>
          <w:tcPr>
            <w:tcW w:type="dxa" w:w="737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核心卡片和交易规则草案需保留来源，低置信度解析内容不得自动进入硬规则。</w:t>
            </w:r>
          </w:p>
        </w:tc>
      </w:tr>
      <w:tr>
        <w:tc>
          <w:tcPr>
            <w:tcW w:type="dxa" w:w="181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可追溯性</w:t>
            </w:r>
          </w:p>
        </w:tc>
        <w:tc>
          <w:tcPr>
            <w:tcW w:type="dxa" w:w="737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从专家报告的每个关键结论可追溯到概念卡、框架卡、资料来源或复盘记录。</w:t>
            </w:r>
          </w:p>
        </w:tc>
      </w:tr>
      <w:tr>
        <w:tc>
          <w:tcPr>
            <w:tcW w:type="dxa" w:w="181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延迟</w:t>
            </w:r>
          </w:p>
        </w:tc>
        <w:tc>
          <w:tcPr>
            <w:tcW w:type="dxa" w:w="737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运行时专家召回应在可配置超时内返回；超时后必须降级为保守模式，不得阻塞风控熔断。</w:t>
            </w:r>
          </w:p>
        </w:tc>
      </w:tr>
      <w:tr>
        <w:tc>
          <w:tcPr>
            <w:tcW w:type="dxa" w:w="181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可扩展性</w:t>
            </w:r>
          </w:p>
        </w:tc>
        <w:tc>
          <w:tcPr>
            <w:tcW w:type="dxa" w:w="737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资料存储、向量索引、图谱索引和全文索引可独立扩容。</w:t>
            </w:r>
          </w:p>
        </w:tc>
      </w:tr>
      <w:tr>
        <w:tc>
          <w:tcPr>
            <w:tcW w:type="dxa" w:w="181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可靠性</w:t>
            </w:r>
          </w:p>
        </w:tc>
        <w:tc>
          <w:tcPr>
            <w:tcW w:type="dxa" w:w="737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导入、解析、蒸馏、入库必须为可重试任务，失败后可恢复。</w:t>
            </w:r>
          </w:p>
        </w:tc>
      </w:tr>
      <w:tr>
        <w:tc>
          <w:tcPr>
            <w:tcW w:type="dxa" w:w="181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可观测性</w:t>
            </w:r>
          </w:p>
        </w:tc>
        <w:tc>
          <w:tcPr>
            <w:tcW w:type="dxa" w:w="737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所有导入、解析、规则生成、运行时调用和审批动作需记录 tracing 和审计日志。</w:t>
            </w:r>
          </w:p>
        </w:tc>
      </w:tr>
      <w:tr>
        <w:tc>
          <w:tcPr>
            <w:tcW w:type="dxa" w:w="181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隐私</w:t>
            </w:r>
          </w:p>
        </w:tc>
        <w:tc>
          <w:tcPr>
            <w:tcW w:type="dxa" w:w="737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用户上传资料、个人笔记和复盘只在用户授权范围内可见。</w:t>
            </w:r>
          </w:p>
        </w:tc>
      </w:tr>
      <w:tr>
        <w:tc>
          <w:tcPr>
            <w:tcW w:type="dxa" w:w="181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安全</w:t>
            </w:r>
          </w:p>
        </w:tc>
        <w:tc>
          <w:tcPr>
            <w:tcW w:type="dxa" w:w="7370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外部链接、GitHub 仓库、ClawHub Skill 或第三方工具必须在沙箱和权限边界内运行。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1E66F5"/>
          <w:sz w:val="36"/>
        </w:rPr>
        <w:t>13. 安全、版权与治理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13.1 版权与资料权限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用户导入资料时必须确认拥有合法使用权或该资料为公开/授权可用。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系统默认只用于个人知识索引、摘要、概念卡和交易分析，不对外分发完整版权内容。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系统在回答中不应输出大段版权原文；需要引用时只输出短引用或摘要，并保留来源。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资料权限支持：仅本人、团队共享、只可摘要、不可原文引用、可删除、可撤回。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用户删除资料后，系统应删除原文索引，并按策略处理派生卡片和交易规则。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13.2 Prompt Injection 与外部内容攻击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948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6236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防护要求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外部网页命令 Agent 下单</w:t>
            </w:r>
          </w:p>
        </w:tc>
        <w:tc>
          <w:tcPr>
            <w:tcW w:type="dxa" w:w="6236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外部内容只能作为资料，不作为系统指令；交易动作必须经过交易计划和风控。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资料要求读取 API Secret</w:t>
            </w:r>
          </w:p>
        </w:tc>
        <w:tc>
          <w:tcPr>
            <w:tcW w:type="dxa" w:w="6236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知识库运行环境不能访问交易所 API Secret。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恶意 GitHub/Skill 工具执行命令</w:t>
            </w:r>
          </w:p>
        </w:tc>
        <w:tc>
          <w:tcPr>
            <w:tcW w:type="dxa" w:w="6236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工具安装前权限声明、沙箱运行、网络/文件/交易权限分离、审计记录。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伪造研究或市场信息</w:t>
            </w:r>
          </w:p>
        </w:tc>
        <w:tc>
          <w:tcPr>
            <w:tcW w:type="dxa" w:w="6236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来源可信度评分、交叉验证、低可信内容不得生成硬规则。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知识污染</w:t>
            </w:r>
          </w:p>
        </w:tc>
        <w:tc>
          <w:tcPr>
            <w:tcW w:type="dxa" w:w="6236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新增知识需要版本、来源、置信度和回滚能力。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13.3 治理流程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F5F9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资料导入 → 权限标记 → 解析 → 知识卡生成 → 质量评分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  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人工复核关键卡片 / 冲突观点 / 规则草案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  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批准进入正式知识库或风控规则库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  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运行时调用与审计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 xml:space="preserve">    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复盘写回、版本迭代、过期检查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1E66F5"/>
          <w:sz w:val="36"/>
        </w:rPr>
        <w:t>14. 验收标准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917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资料导入</w:t>
            </w:r>
          </w:p>
        </w:tc>
        <w:tc>
          <w:tcPr>
            <w:tcW w:type="dxa" w:w="6917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至少支持 PDF、DOCX、Markdown、网页链接、GitHub 仓库、个人笔记导入，并显示处理状态。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权限标记</w:t>
            </w:r>
          </w:p>
        </w:tc>
        <w:tc>
          <w:tcPr>
            <w:tcW w:type="dxa" w:w="6917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所有资料都必须具备权限类型和来源记录；缺失时不能进入正式知识库。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卡片生成</w:t>
            </w:r>
          </w:p>
        </w:tc>
        <w:tc>
          <w:tcPr>
            <w:tcW w:type="dxa" w:w="6917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导入一本结构清晰的书后，系统能生成书籍卡、章节卡、概念卡和交易启发。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规则审批</w:t>
            </w:r>
          </w:p>
        </w:tc>
        <w:tc>
          <w:tcPr>
            <w:tcW w:type="dxa" w:w="6917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交易硬规则草案必须经过用户批准；未批准规则不得影响真实交易。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专家报告</w:t>
            </w:r>
          </w:p>
        </w:tc>
        <w:tc>
          <w:tcPr>
            <w:tcW w:type="dxa" w:w="6917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用户提出具体交易问题后，系统能输出包含核心结论、理论框架、反方观点、交易计划和证据链的报告。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自主交易联动</w:t>
            </w:r>
          </w:p>
        </w:tc>
        <w:tc>
          <w:tcPr>
            <w:tcW w:type="dxa" w:w="6917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自主交易计划生成前必须调用本模块并记录 analysis_bundle_id。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审计</w:t>
            </w:r>
          </w:p>
        </w:tc>
        <w:tc>
          <w:tcPr>
            <w:tcW w:type="dxa" w:w="6917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管理员可查询任意规则、报告或交易对应的知识来源和调用日志。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安全</w:t>
            </w:r>
          </w:p>
        </w:tc>
        <w:tc>
          <w:tcPr>
            <w:tcW w:type="dxa" w:w="6917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红队测试中，外部网页或资料不得修改授权、读取密钥、绕过风控或直接下单。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1E66F5"/>
          <w:sz w:val="36"/>
        </w:rPr>
        <w:t>15. MVP 与路线图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15.1 MVP 范围（P0）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资料导入：PDF、DOCX、Markdown、网页链接、GitHub 仓库和个人笔记。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权限标记与来源元数据。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目录与章节解析。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书籍卡、章节卡、概念卡、理论框架卡基础生成。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交易启发生成与硬规则草案审批。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运行时专家分析报告。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自主交易前置审查绑定 analysis_bundle_id。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知识库总览、书籍详情、交易规则库、运行时证据面板。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导入、解析、规则审批、运行时调用的审计日志。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15.2 后续版本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701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7483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增强能力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v1.1</w:t>
            </w:r>
          </w:p>
        </w:tc>
        <w:tc>
          <w:tcPr>
            <w:tcW w:type="dxa" w:w="7483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概念图谱可视化、冲突观点库、掌握度测试、前沿研究定时刷新、知识过期提醒。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v1.2</w:t>
            </w:r>
          </w:p>
        </w:tc>
        <w:tc>
          <w:tcPr>
            <w:tcW w:type="dxa" w:w="7483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专家委员会 Agent、多专家辩论、自动生成领域周报、复盘知识自动调权重。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v1.3</w:t>
            </w:r>
          </w:p>
        </w:tc>
        <w:tc>
          <w:tcPr>
            <w:tcW w:type="dxa" w:w="7483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复杂公式/图表理解增强、跨书籍理论对比、策略框架模板市场、团队共享知识库。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v1.4</w:t>
            </w:r>
          </w:p>
        </w:tc>
        <w:tc>
          <w:tcPr>
            <w:tcW w:type="dxa" w:w="7483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8"/>
              </w:rPr>
              <w:t>与 Skill/Tool 市场深度联动，允许安装安全审查通过的解析器、研究抓取器和报告生成工具。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15.3 不采用用户侧模拟盘作为本模块交付前提</w:t>
      </w:r>
    </w:p>
    <w:p>
      <w:pPr>
        <w:spacing w:after="12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1"/>
        </w:rPr>
        <w:t>本模块关注“知识掌握与专家分析能力”，不以用户侧模拟盘作为必要阶段。真实自主交易仍需通过授权委托、硬风控、API 权限隔离和审计机制。本模块提供交易前的专家知识审查与证据链。</w:t>
      </w:r>
    </w:p>
    <w:p>
      <w:pPr>
        <w:pStyle w:val="Heading1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1E66F5"/>
          <w:sz w:val="36"/>
        </w:rPr>
        <w:t>16. 风险与未决问题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16.1 主要风险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381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494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4309"/>
            <w:shd w:fill="1E66F5"/>
            <w:tcBorders>
              <w:top w:sz="4" w:val="single" w:color="1E66F5"/>
              <w:start w:sz="4" w:val="single" w:color="1E66F5"/>
              <w:bottom w:sz="4" w:val="single" w:color="1E66F5"/>
              <w:end w:sz="4" w:val="single" w:color="1E66F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缓解措施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资料版权不清</w:t>
            </w:r>
          </w:p>
        </w:tc>
        <w:tc>
          <w:tcPr>
            <w:tcW w:type="dxa" w:w="249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无法合法处理或输出。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导入时强制权限标记，限制原文输出，支持删除和撤回。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知识误读</w:t>
            </w:r>
          </w:p>
        </w:tc>
        <w:tc>
          <w:tcPr>
            <w:tcW w:type="dxa" w:w="249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错误规则进入交易系统。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低置信度标记、用户审批、掌握度测试、反方观点。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知识过时</w:t>
            </w:r>
          </w:p>
        </w:tc>
        <w:tc>
          <w:tcPr>
            <w:tcW w:type="dxa" w:w="249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旧理论或旧数据误导当前交易。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定时刷新、过期评分、前沿研究订阅、冲突检测。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外部内容攻击</w:t>
            </w:r>
          </w:p>
        </w:tc>
        <w:tc>
          <w:tcPr>
            <w:tcW w:type="dxa" w:w="249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绕过风控或窃取信息。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资料/指令隔离、沙箱工具、权限最小化、审计。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过度依赖理论</w:t>
            </w:r>
          </w:p>
        </w:tc>
        <w:tc>
          <w:tcPr>
            <w:tcW w:type="dxa" w:w="249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忽略实时市场结构和风险。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  <w:shd w:fill="F8FA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运行时必须结合市场数据、仓位、事件和硬风控。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知识库过大导致召回噪声</w:t>
            </w:r>
          </w:p>
        </w:tc>
        <w:tc>
          <w:tcPr>
            <w:tcW w:type="dxa" w:w="2494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分析质量下降。</w:t>
            </w:r>
          </w:p>
        </w:tc>
        <w:tc>
          <w:tcPr>
            <w:tcW w:type="dxa" w:w="4309"/>
            <w:vAlign w:val="top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0F172A"/>
                <w:sz w:val="17"/>
              </w:rPr>
              <w:t>领域分类、图谱过滤、质量评分、用户偏好权重。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16.2 未决问题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用户计划优先导入哪些领域：宏观、交易、衍生品、Crypto、量化、风控，还是全部并行？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是否需要团队共享知识库，还是仅个人专属？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是否允许系统对用户资料做跨资料的派生总结和长期记忆？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硬规则审批是否需要二次确认或权限分级？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前沿研究订阅源由用户配置，还是系统内置一套默认源？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b w:val="0"/>
          <w:color w:val="0F172A"/>
          <w:sz w:val="20"/>
        </w:rPr>
        <w:t>运行时报告需要多长：简洁交易版、专家备忘录版、完整投研版是否都要支持？</w:t>
      </w:r>
    </w:p>
    <w:p>
      <w:r>
        <w:br w:type="page"/>
      </w:r>
    </w:p>
    <w:p>
      <w:pPr>
        <w:pStyle w:val="Heading1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1E66F5"/>
          <w:sz w:val="36"/>
        </w:rPr>
        <w:t>附录 A：知识卡模板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A.1 书籍知识卡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F5F9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书名：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作者 / 版本：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领域：宏观 / 微观 / 金融市场 / 交易 / 风控 / Crypto / 其他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核心问题：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主要理论：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关键概念：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典型案例：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适用市场环境：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不适用环境：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与其他理论的冲突：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对数字货币交易的启发：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可转化交易规则：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掌握状态：未解析 / 已摘要 / 已卡片化 / 已入图谱 / 已测试 / 已运行验证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A.2 概念卡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F5F9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概念名称：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定义：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来源：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相关理论：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适用条件：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失效条件：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可观察指标：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交易含义：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相关资产：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风险提示：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反方观点：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0F172A"/>
          <w:sz w:val="28"/>
        </w:rPr>
        <w:t>A.3 交易规则草案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F5F9"/>
            <w:tcBorders>
              <w:top w:sz="4" w:val="single" w:color="CBD5E1"/>
              <w:start w:sz="4" w:val="single" w:color="CBD5E1"/>
              <w:bottom w:sz="4" w:val="single" w:color="CBD5E1"/>
              <w:end w:sz="4" w:val="single" w:color="CBD5E1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规则名称：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来源资料：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规则等级：L1/L2/L3/L4/L5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触发条件：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适用范围：币种 / 交易所 / 市场类型 / 时间窗口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系统动作：提醒 / 限制 / 禁止 / 熔断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例外条件：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置信度：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审批状态：待审批 / 已批准 / 已拒绝 / 已停用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11827"/>
                <w:sz w:val="18"/>
              </w:rPr>
              <w:t>审计记录：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b w:val="0"/>
        <w:color w:val="64748B"/>
        <w:sz w:val="17"/>
      </w:rPr>
      <w:t>专家知识库与金融书籍智能体需求文档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b w:val="0"/>
        <w:color w:val="64748B"/>
        <w:sz w:val="17"/>
      </w:rPr>
      <w:t>AI 数字货币交易 Agent · 专家知识库模块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oto Sans CJK SC" w:hAnsi="Noto Sans CJK SC" w:eastAsia="Noto Sans CJK SC" w:cs="Noto Sans CJK SC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专家知识库与金融书籍智能体需求文档 v1.0</dc:title>
  <dc:subject>AI 数字货币交易 Agent 专家知识库模块需求</dc:subject>
  <dc:creator>OpenAI</dc:creator>
  <cp:keywords/>
  <dc:description>Generated for product requirements planning.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