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konak-özgü epitop çözünürlüğü ile uçtan uca ters aşı bilişimi</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Yazışma: aliarslan47@gmail.com</w:t>
      </w:r>
    </w:p>
    <w:p>
      <w:r>
        <w:rPr>
          <w:b w:val="0"/>
          <w:i w:val="0"/>
          <w:sz w:val="24"/>
        </w:rPr>
        <w:t>Taslak: 2026-09-20. Yöntem anlatısı `MANUSCRIPT_METHODS.md`'de; ground-truth antijen kanıtı ve DOI'ler `PROTECTIVE_ANTIGENS.md`'de; aksesyonlar `PATHOGEN_ACCESSIONS.md`'de. Bu belge, İngilizce sürümün (`MANUSCRIPT.md`) Türkçe karşılığıdır.</w:t>
      </w:r>
    </w:p>
    <w:p>
      <w:pPr>
        <w:spacing w:before="200"/>
      </w:pPr>
      <w:r>
        <w:rPr>
          <w:b/>
          <w:i w:val="0"/>
          <w:sz w:val="26"/>
        </w:rPr>
        <w:t>Özet</w:t>
      </w:r>
    </w:p>
    <w:p>
      <w:r>
        <w:rPr>
          <w:b w:val="0"/>
          <w:i w:val="0"/>
          <w:sz w:val="24"/>
        </w:rPr>
        <w:t>Ters aşı bilişimi araçları bir genomdan aday antijen sıralar; ancak çoğu bu sıralamada durur ve konağı tek bir referans sayar. Bu iki eksik, hem bilinen antijenleri geri getirme başarımını hem de veteriner ve türler-arası hedeflerdeki kullanışlılığı düşürür. Burada VaxForge'u tanıtıyoruz: bir patojeni aday keşfinden yumuşak-filtreli antijen hunisine, ardından dört konak türü için ayrı ayrı sınıf I ve sınıf II epitop tahminine ve karakterize edilmiş çok-epitoplu bir konstrukta taşıyan, in silico immünizasyonla biten bir hat. VaxForge'u iki yerleşik araçla, NERVE 2.0 ve Vaxign-ML ile, varsayılan parametreler ve özdeş girdi altında karşılaştırdık. On beş ruhsatlı ya da preklinik koruyucu antijenin ground-truth alındığı dört bakteriyel proteomda VaxForge 15 antijenin 14'ünü geri getirdi. Bu değer Vaxign-ML'inkiyle (15/15) yarışır ve NERVE 2.0'ın (9/15) belirgin önündedir; üstelik VaxForge koruyucu antijenleri daha üst sıralara koydu (örneğin demir-düzenlenen yüzey belirleyicisi B, 2.889 protein içinde 4. sırada). VaxForge'un kaçırdığı tek antijen olan ActA, bağımsız araçta da en dipte çıktı; yani bir yapaylık değil, gerçekten zor bir hedef. NERVE 2.0 daha yüksek fold-zenginleşmeye ulaştı, ama bunu dört ruhsatlı meningokok antijeninden üçünü her ölçekte eleyerek yaptı; dolayısıyla fold-zenginleşme tek başına yanıltıcıdır. Bir kuduz modeli ve iki virüste VaxForge, türden türe belirgin biçimde değişen konak-özgü glikoprotein epitop repertuarları verdi (ikili Jaccard örtüşmesi birin altında, bir durumda sıfır); bu, karşılaştırılan araçların ulaşamadığı bir boyuttur. Kısacası VaxForge, güçlü bir bağımsız tahmincinin recall'ını yakalarken alanın bugün sunmadığı konak çözünürlüğünü ve uçtan uca bir konstruktu ekler.</w:t>
      </w:r>
    </w:p>
    <w:p>
      <w:pPr>
        <w:spacing w:before="200"/>
      </w:pPr>
      <w:r>
        <w:rPr>
          <w:b/>
          <w:i w:val="0"/>
          <w:sz w:val="26"/>
        </w:rPr>
        <w:t>Giriş</w:t>
      </w:r>
    </w:p>
    <w:p>
      <w:r>
        <w:rPr>
          <w:b w:val="0"/>
          <w:i w:val="0"/>
          <w:sz w:val="24"/>
        </w:rPr>
        <w:t xml:space="preserve">Ters aşı bilişimi serogrup B </w:t>
      </w:r>
      <w:r>
        <w:rPr>
          <w:b w:val="0"/>
          <w:i/>
          <w:sz w:val="24"/>
        </w:rPr>
        <w:t>Neisseria meningitidis</w:t>
      </w:r>
      <w:r>
        <w:rPr>
          <w:b w:val="0"/>
          <w:i w:val="0"/>
          <w:sz w:val="24"/>
        </w:rPr>
        <w:t xml:space="preserve"> ile doğdu. Pizza ve arkadaşları (2000), aday antijenleri kültür bileşenlerinden değil doğrudan tüm-genom dizisinden çıkararak bu yöntemi kurdu ve ruhsatlı dört-bileşenli meningokok aşısının antijenlerini, yani rekombinant faktör H bağlayıcı protein, Neisseria adhezini A ve Neisseria Heparin Bağlayıcı Antijen ile PorA taşıyan dış-membran vezikülünü ortaya çıkardı (Giuliani vd., 2006). Aradan geçen yirmi yılda yöntem olgun yazılımlara kavuştu. NERVE 2.0 güncel ve yerel kurulabilen bir ters aşı bilişimi ortamı sunar (Conte vd., 2024); Vaxign-ML ise bakteriyel koruyucu antijenleri denetimli makine öğrenmesiyle tahmin eder (Ong vd., 2020).</w:t>
      </w:r>
    </w:p>
    <w:p>
      <w:r>
        <w:rPr>
          <w:b w:val="0"/>
          <w:i w:val="0"/>
          <w:sz w:val="24"/>
        </w:rPr>
        <w:t>Bu araçların pratikte önemli üç ortak eksiği var. Birincisi, sert bir virülans ya da lokalizasyon filtresi aday listesinin görünürdeki zenginliğini artırırken gerçek antijenleri sessizce eleyebilir. Örneğin Neisseria Heparin Bağlayıcı Antijen küratörlü virülans veritabanlarında yoktur, ama ruhsatlı bir aşı bileşenidir; virülans-veritabanı isabeti şart koşan her hat onu kaybeder. İkincisi, epitop çıktısı çoğunlukla tek bir insan referansına göre hesaplanır. Oysa sığır, domuz ya da farenin asıl konak olduğu pek çok veteriner ve zoonotik hedef, dürüst bir sunum modeli olmadan kalır. Üçüncüsü, araçların çoğu sıralı bir protein listesi verip durur; bir antijeni immünojene dönüştüren adımlar, yani epitop seçimi, konstrukt kurulumu ve ilk immünolojik kontrol, kullanıcıya bırakılır.</w:t>
      </w:r>
    </w:p>
    <w:p>
      <w:r>
        <w:rPr>
          <w:b w:val="0"/>
          <w:i w:val="0"/>
          <w:sz w:val="24"/>
        </w:rPr>
        <w:t>VaxForge bu üç eksiği tek bir deterministik hatta kapatır. Sert virülans filtresini yumuşak ve ağırlıklı bir filtreyle değiştirir; böylece virülans-veritabanı kaydı olmayan gerçek bir yüzey antijeni de geçebilir. Kullanıcının seçtiği konak için sınıf I ve sınıf II bağlanmayı, insan, fare, sığır ve domuz allel panellerinden tahmin eder; böylece epitop repertuarı hedeflenen türü yansıtır. Ve sıralamayla yetinmeyip çok-epitoplu bir konstrukta ve in silico immünizasyon çıktısına uzanır. Aşağıda ilk iki katkıyı dört bakteri ve üç virüste NERVE 2.0 ve Vaxign-ML'e karşı ölçüyor, ayrıca çalışma sırasında yakalayıp giderdiğimiz iki ölçek kaynaklı kusurun oluşturduğu hat doğrulamasını sunuyoruz.</w:t>
      </w:r>
    </w:p>
    <w:p>
      <w:pPr>
        <w:spacing w:before="200"/>
      </w:pPr>
      <w:r>
        <w:rPr>
          <w:b/>
          <w:i w:val="0"/>
          <w:sz w:val="26"/>
        </w:rPr>
        <w:t>Materyal ve Metot</w:t>
      </w:r>
    </w:p>
    <w:p>
      <w:r>
        <w:rPr>
          <w:b/>
          <w:i w:val="0"/>
          <w:sz w:val="24"/>
        </w:rPr>
        <w:t>Aday keşfi ve antijen hunisi.</w:t>
      </w:r>
      <w:r>
        <w:rPr>
          <w:b w:val="0"/>
          <w:i w:val="0"/>
          <w:sz w:val="24"/>
        </w:rPr>
        <w:t xml:space="preserve"> VaxForge deterministiktir ve her kesim değerini tek bir yapılandırma dosyasından okur; hiçbir eşik kodda gömülü değildir (`config/thresholds.yaml`). Girdi türü (proteom, kodlayan diziler ya da genom) otomatik tanındı. Proteinler, küratörlü virülans faktörü veritabanı VFDB'ye (Liu vd., 2022) DIAMOND blastp (Buchfink vd., 2021) ile hizalandı; eşikler e-value en çok 1 × 10⁻⁵, dizi kimliği en az %30 ve kapsam en az %50 olarak alındı. Bu kanıt adaylık puanına katkı verdi, kapı olarak kullanılmadı. Hücre-altı yerleşim PSORTb 3.0 (Yu vd., 2010), yedek olarak DeepLoc 2.0 (Thumuluri vd., 2022) ile tahmin edildi; hücre-dışı, dış-membran, hücre-duvarı ve periplazmik proteinler tutuldu, sitoplazmik olanlar elendi (sert filtre). Transmembran topoloji TMHMM-2.0 (Krogh vd., 2001) ile tahmin edildi; birden çok helikse sahip proteinler elendi (sert filtre). İnsan homolojisi, insan proteomuna karşı DIAMOND blastp ile değerlendirildi; %35'in üzerinde kimlik gösteren proteinler otoimmün güvenlik için çıkarıldı (sert filtre). Sinyal peptidi (SignalP-5.0; Almagro Armenteros vd., 2019, olasılık ≥ 0,5), antijenite (IApred; Miles vd., 2025), suşlar arası korunmuşluk (çok suş verildiğinde ≥ %80) ve adezin olasılığı (≥ 0,51) puana katkı veren yumuşak terimlerdi. Geçen proteinler ağırlıklı bir adaylık puanıyla sıralandı.</w:t>
      </w:r>
    </w:p>
    <w:p>
      <w:r>
        <w:rPr>
          <w:b/>
          <w:i w:val="0"/>
          <w:sz w:val="24"/>
        </w:rPr>
        <w:t>Konak-özgü epitop tahmini.</w:t>
      </w:r>
      <w:r>
        <w:rPr>
          <w:b w:val="0"/>
          <w:i w:val="0"/>
          <w:sz w:val="24"/>
        </w:rPr>
        <w:t xml:space="preserve"> Seçilen konak için sınıf I bağlanma, 8-11 kalıntılık peptitler için NetMHCpan-4.1 (Reynisson vd., 2020) ile tahmin edildi; güçlü ve zayıf bağlayıcılar sırasıyla ≤ %0,5 ve ≤ %2 yüzdelik-sırada tanımlandı. Antijen işleme, NetCTL-1.2'den allel-bağımsız proteozomal kesim ve TAP taşınımı olarak eklendi (Larsen vd., 2005); sınıf I immünojenite IEDB modelinden alındı (Calis vd., 2013). Sınıf II bağlanma, 9-kalıntılık çekirdekli 15-mer'ler için NetMHCIIpan (Reynisson vd., 2020) ile ≤ %2 ve ≤ %10 yüzdelik-sırada tahmin edildi; yardımcı epitoplar ayrıca insan ve farede interferon-γ indükleme açısından IFNepitope2 (skor ≥ 0,49; Dhall vd., 2024) ile tarandı. Lineer B-hücre epitopları BepiPred-3.0 (Clifford vd., 2022) ile tahmin edildi.</w:t>
      </w:r>
    </w:p>
    <w:p>
      <w:r>
        <w:rPr>
          <w:b/>
          <w:i w:val="0"/>
          <w:sz w:val="24"/>
        </w:rPr>
        <w:t>Epitop güvenliği ve popülasyon kapsamı.</w:t>
      </w:r>
      <w:r>
        <w:rPr>
          <w:b w:val="0"/>
          <w:i w:val="0"/>
          <w:sz w:val="24"/>
        </w:rPr>
        <w:t xml:space="preserve"> Tutulan epitopların, bilinen alerjenlere altı-kalıntılık birebir benzerlikle değerlendirilerek (FAO/WHO, 2001) alerjen olmaması ve makine-öğrenmesi skoru 0,6'nın üzerindeki peptitlerin çıkarıldığı ToxinPred2 ile değerlendirilerek (Sharma vd., 2022) toksik olmaması istendi; ikisi de sert filtredir. Epitopun konak proteomuna kendi-mimikrisi, birebir 9-kalıntılık eşleşme olarak tanımlanıp yumuşak biçimde işaretlendi. Seçilen epitop setinin insan HLA allellerindeki popülasyon kapsamı IEDB popülasyon-kapsamı aracıyla (Bui vd., 2006) hesaplandı; hedef en az %90 olarak alındı.</w:t>
      </w:r>
    </w:p>
    <w:p>
      <w:r>
        <w:rPr>
          <w:b/>
          <w:i w:val="0"/>
          <w:sz w:val="24"/>
        </w:rPr>
        <w:t>Çok-epitoplu konstrukt ve in silico immünizasyon.</w:t>
      </w:r>
      <w:r>
        <w:rPr>
          <w:b w:val="0"/>
          <w:i w:val="0"/>
          <w:sz w:val="24"/>
        </w:rPr>
        <w:t xml:space="preserve"> Tutulan epitoplar tek bir konstruktta birleştirildi: sitotoksik epitoplar arasında AAY ve B-hücre epitopları çevresinde KK linkerleri (Schubert &amp; Kohlbacher, 2016), yardımcı epitoplar arasında GPGPG linkerleri (Livingston vd., 2002) ve N-ucunda β-defensin adjuvanı (Biragyn vd., 2002) kullanıldı. Konstruktun fizikokimyasal özellikleri ProtParam (Gasteiger vd., 2005) ile hesaplandı; konstrukt, antikor ve izotip yanıtını zaman içinde benzeten in silico immünizasyon modülüne verildi.</w:t>
      </w:r>
    </w:p>
    <w:p>
      <w:r>
        <w:rPr>
          <w:b/>
          <w:i w:val="0"/>
          <w:sz w:val="24"/>
        </w:rPr>
        <w:t>Benchmark patojenleri ve ground-truth antijenleri.</w:t>
      </w:r>
      <w:r>
        <w:rPr>
          <w:b w:val="0"/>
          <w:i w:val="0"/>
          <w:sz w:val="24"/>
        </w:rPr>
        <w:t xml:space="preserve"> Bakteri kolunda serogrup B </w:t>
      </w:r>
      <w:r>
        <w:rPr>
          <w:b w:val="0"/>
          <w:i/>
          <w:sz w:val="24"/>
        </w:rPr>
        <w:t>N. meningitidis</w:t>
      </w:r>
      <w:r>
        <w:rPr>
          <w:b w:val="0"/>
          <w:i w:val="0"/>
          <w:sz w:val="24"/>
        </w:rPr>
        <w:t xml:space="preserve"> MC58 (UniProt proteom UP000000425, 2.003 protein; RefSeq NC_003112.2), ground-truth olarak dört 4CMenB antijeniyle, fHbp (Q9JXV4), NadA (Q9JXK7), NHBA (Q7DD37) ve PorA (P0DH58), kullanıldı. Buna tam proteom ölçeğinde üç tür daha eklendi: </w:t>
      </w:r>
      <w:r>
        <w:rPr>
          <w:b w:val="0"/>
          <w:i/>
          <w:sz w:val="24"/>
        </w:rPr>
        <w:t>S. aureus</w:t>
      </w:r>
      <w:r>
        <w:rPr>
          <w:b w:val="0"/>
          <w:i w:val="0"/>
          <w:sz w:val="24"/>
        </w:rPr>
        <w:t xml:space="preserve"> NCTC 8325 (UP000008816, 2.889 protein), </w:t>
      </w:r>
      <w:r>
        <w:rPr>
          <w:b w:val="0"/>
          <w:i/>
          <w:sz w:val="24"/>
        </w:rPr>
        <w:t>L. monocytogenes</w:t>
      </w:r>
      <w:r>
        <w:rPr>
          <w:b w:val="0"/>
          <w:i w:val="0"/>
          <w:sz w:val="24"/>
        </w:rPr>
        <w:t xml:space="preserve"> EGD-e (UP000000817, 2.844) ve </w:t>
      </w:r>
      <w:r>
        <w:rPr>
          <w:b w:val="0"/>
          <w:i/>
          <w:sz w:val="24"/>
        </w:rPr>
        <w:t>S.</w:t>
      </w:r>
      <w:r>
        <w:rPr>
          <w:b w:val="0"/>
          <w:i w:val="0"/>
          <w:sz w:val="24"/>
        </w:rPr>
        <w:t xml:space="preserve"> Typhimurium LT2 (UP000001014, 4.533); her biri, kanıtı ve DOI'leri `PROTECTIVE_ANTIGENS.md`'de listelenen beşer koruyucu ya da aday antijenle. Virüs kolunda kuduz virüsü (tür </w:t>
      </w:r>
      <w:r>
        <w:rPr>
          <w:b w:val="0"/>
          <w:i/>
          <w:sz w:val="24"/>
        </w:rPr>
        <w:t>Lyssavirus rabies</w:t>
      </w:r>
      <w:r>
        <w:rPr>
          <w:b w:val="0"/>
          <w:i w:val="0"/>
          <w:sz w:val="24"/>
        </w:rPr>
        <w:t>; NC_001542; glikoprotein G, NP_056796), veziküler stomatit Indiana virüsü (</w:t>
      </w:r>
      <w:r>
        <w:rPr>
          <w:b w:val="0"/>
          <w:i/>
          <w:sz w:val="24"/>
        </w:rPr>
        <w:t>Vesiculovirus indiana</w:t>
      </w:r>
      <w:r>
        <w:rPr>
          <w:b w:val="0"/>
          <w:i w:val="0"/>
          <w:sz w:val="24"/>
        </w:rPr>
        <w:t>) ve ensefalomiyokardit virüsü (</w:t>
      </w:r>
      <w:r>
        <w:rPr>
          <w:b w:val="0"/>
          <w:i/>
          <w:sz w:val="24"/>
        </w:rPr>
        <w:t>Cardiovirus A</w:t>
      </w:r>
      <w:r>
        <w:rPr>
          <w:b w:val="0"/>
          <w:i w:val="0"/>
          <w:sz w:val="24"/>
        </w:rPr>
        <w:t>) kullanıldı. Tüm aksesyonlar NCBI ve UniProt'a karşı doğrulandı (`PATHOGEN_ACCESSIONS.md`). Meningokokta, tam-proteom VaxForge koşuları CPU-yalnız donanımda pratik olmadığından proteomun sabit-seed alt örneklemi (64 ve 204 protein; dört koruyucu antijen artı arka plan) kullanıldı ve aynı alt örneklem her araca verildi.</w:t>
      </w:r>
    </w:p>
    <w:p>
      <w:r>
        <w:rPr>
          <w:b/>
          <w:i w:val="0"/>
          <w:sz w:val="24"/>
        </w:rPr>
        <w:t>Karşılaştırma araçları ve rolleri.</w:t>
      </w:r>
      <w:r>
        <w:rPr>
          <w:b w:val="0"/>
          <w:i w:val="0"/>
          <w:sz w:val="24"/>
        </w:rPr>
        <w:t xml:space="preserve"> VaxForge, bakteriyel antijen tahmininde güncel, yerel kurulabilir ve en yaygın kullanılan iki ters aşı bilişimi aracıyla karşılaştırıldı; böylece karşılaştırma bir kullanıcının gerçekte koşacağı araçları yansıtır (Tablo 1). Vaxign-ML (Ong vd., 2020), bir protein proteomunu girdi alıp her protein için bir korujenite (protegenicity) olasılığı döndüren, adayları sıralayan ama epitop, konak bilgisi ya da konstrukt üretmeyen denetimli bir makine-öğrenmesi sınıflandırıcısıdır. NERVE 2.0 (Conte vd., 2024), bir bakteriyel proteomu ve Gram etiketini alıp bir dizi sert seçim filtresinden sonra aday protein kısa listesi döndüren uçtan uca bir bakteriyel ters aşı bilişimi ortamıdır. VaxForge ise bakteri ya da virüs için proteom, kodlayan diziler veya genom alır ve sıralı antijenlerle birlikte konak-özgü epitoplar, çok-epitoplu bir konstrukt ve in silico immünizasyon çıktısı döndürür. İki karşılaştırma aracı da yerelde konteynerlerde kuruldu ve özdeş girdi üzerinde, eşik ayarı yapılmadan, varsayılan parametrelerle koşuldu; ground-truth antijenlerdeki recall ve antijen sıraları her aracın kendi çıktısından okundu.</w:t>
      </w:r>
    </w:p>
    <w:p>
      <w:r>
        <w:rPr>
          <w:b/>
          <w:i w:val="0"/>
          <w:sz w:val="24"/>
        </w:rPr>
        <w:t>Tablo 1.</w:t>
      </w:r>
      <w:r>
        <w:rPr>
          <w:b w:val="0"/>
          <w:i w:val="0"/>
          <w:sz w:val="24"/>
        </w:rPr>
        <w:t xml:space="preserve"> Karşılaştırılan üç aracın girdileri, çıktıları ve yetenekleri (✓ var, ✗ yok).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Yetenek</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Girdi</w:t>
            </w:r>
          </w:p>
        </w:tc>
        <w:tc>
          <w:tcPr>
            <w:tcW w:type="dxa" w:w="2160"/>
          </w:tcPr>
          <w:p>
            <w:pPr>
              <w:spacing w:line="240" w:lineRule="auto"/>
              <w:jc w:val="left"/>
            </w:pPr>
            <w:r/>
            <w:r>
              <w:rPr>
                <w:b w:val="0"/>
                <w:i w:val="0"/>
                <w:sz w:val="22"/>
              </w:rPr>
              <w:t>proteom, CDS veya genom</w:t>
            </w:r>
          </w:p>
        </w:tc>
        <w:tc>
          <w:tcPr>
            <w:tcW w:type="dxa" w:w="2160"/>
          </w:tcPr>
          <w:p>
            <w:pPr>
              <w:spacing w:line="240" w:lineRule="auto"/>
              <w:jc w:val="left"/>
            </w:pPr>
            <w:r/>
            <w:r>
              <w:rPr>
                <w:b w:val="0"/>
                <w:i w:val="0"/>
                <w:sz w:val="22"/>
              </w:rPr>
              <w:t>bakteriyel proteom + Gram</w:t>
            </w:r>
          </w:p>
        </w:tc>
        <w:tc>
          <w:tcPr>
            <w:tcW w:type="dxa" w:w="2160"/>
          </w:tcPr>
          <w:p>
            <w:pPr>
              <w:spacing w:line="240" w:lineRule="auto"/>
              <w:jc w:val="left"/>
            </w:pPr>
            <w:r/>
            <w:r>
              <w:rPr>
                <w:b w:val="0"/>
                <w:i w:val="0"/>
                <w:sz w:val="22"/>
              </w:rPr>
              <w:t>protein proteomu</w:t>
            </w:r>
          </w:p>
        </w:tc>
      </w:tr>
      <w:tr>
        <w:tc>
          <w:tcPr>
            <w:tcW w:type="dxa" w:w="2160"/>
          </w:tcPr>
          <w:p>
            <w:pPr>
              <w:spacing w:line="240" w:lineRule="auto"/>
              <w:jc w:val="left"/>
            </w:pPr>
            <w:r/>
            <w:r>
              <w:rPr>
                <w:b w:val="0"/>
                <w:i w:val="0"/>
                <w:sz w:val="22"/>
              </w:rPr>
              <w:t>Virüslere uygulanabilir</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sınırlı</w:t>
            </w:r>
          </w:p>
        </w:tc>
      </w:tr>
      <w:tr>
        <w:tc>
          <w:tcPr>
            <w:tcW w:type="dxa" w:w="2160"/>
          </w:tcPr>
          <w:p>
            <w:pPr>
              <w:spacing w:line="240" w:lineRule="auto"/>
              <w:jc w:val="left"/>
            </w:pPr>
            <w:r/>
            <w:r>
              <w:rPr>
                <w:b w:val="0"/>
                <w:i w:val="0"/>
                <w:sz w:val="22"/>
              </w:rPr>
              <w:t>Antijen sıralama</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Virülans-veritabanı-negatif antijenleri korur</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Konak-özgü MHC epitopları</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 ve T-hücre epitop çıktısı</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Çok-epitoplu konstrukt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immünizasyon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Ana çıktı</w:t>
            </w:r>
          </w:p>
        </w:tc>
        <w:tc>
          <w:tcPr>
            <w:tcW w:type="dxa" w:w="2160"/>
          </w:tcPr>
          <w:p>
            <w:pPr>
              <w:spacing w:line="240" w:lineRule="auto"/>
              <w:jc w:val="left"/>
            </w:pPr>
            <w:r/>
            <w:r>
              <w:rPr>
                <w:b w:val="0"/>
                <w:i w:val="0"/>
                <w:sz w:val="22"/>
              </w:rPr>
              <w:t>sıralı antijen, epitop ve konstrukt</w:t>
            </w:r>
          </w:p>
        </w:tc>
        <w:tc>
          <w:tcPr>
            <w:tcW w:type="dxa" w:w="2160"/>
          </w:tcPr>
          <w:p>
            <w:pPr>
              <w:spacing w:line="240" w:lineRule="auto"/>
              <w:jc w:val="left"/>
            </w:pPr>
            <w:r/>
            <w:r>
              <w:rPr>
                <w:b w:val="0"/>
                <w:i w:val="0"/>
                <w:sz w:val="22"/>
              </w:rPr>
              <w:t>aday protein kısa listesi</w:t>
            </w:r>
          </w:p>
        </w:tc>
        <w:tc>
          <w:tcPr>
            <w:tcW w:type="dxa" w:w="2160"/>
          </w:tcPr>
          <w:p>
            <w:pPr>
              <w:spacing w:line="240" w:lineRule="auto"/>
              <w:jc w:val="left"/>
            </w:pPr>
            <w:r/>
            <w:r>
              <w:rPr>
                <w:b w:val="0"/>
                <w:i w:val="0"/>
                <w:sz w:val="22"/>
              </w:rPr>
              <w:t>protein başına korujenite skoru</w:t>
            </w:r>
          </w:p>
        </w:tc>
      </w:tr>
    </w:tbl>
    <w:p/>
    <w:p>
      <w:r>
        <w:rPr>
          <w:b/>
          <w:i w:val="0"/>
          <w:sz w:val="24"/>
        </w:rPr>
        <w:t>İstatistiksel analiz.</w:t>
      </w:r>
      <w:r>
        <w:rPr>
          <w:b w:val="0"/>
          <w:i w:val="0"/>
          <w:sz w:val="24"/>
        </w:rPr>
        <w:t xml:space="preserve"> Ground-truth antijenlerin adaylar arasındaki zenginleşmesi Fisher kesin testiyle, antijen sıraları ise dağılımdan bağımsız bir permütasyon testiyle sınandı. Ayrım gücü ROC-AUC ve bootstrap güven aralıklarıyla, AUC farkları DeLong testiyle özetlendi; her patojende yalnız dört ila beş pozitif olduğundan AUC küçük-örneklem uyarısıyla ikincil olarak verildi. Konak epitop kümelerinin örtüşmesi Jaccard indeksiyle ölçüldü. Tüm testler `benchmark/stats.py`'de uygulanmıştır.</w:t>
      </w:r>
    </w:p>
    <w:p>
      <w:r>
        <w:rPr>
          <w:b/>
          <w:i w:val="0"/>
          <w:sz w:val="24"/>
        </w:rPr>
        <w:t>Hattın ölçek-güvenliği doğrulaması.</w:t>
      </w:r>
      <w:r>
        <w:rPr>
          <w:b w:val="0"/>
          <w:i w:val="0"/>
          <w:sz w:val="24"/>
        </w:rPr>
        <w:t xml:space="preserve"> Tam-proteom bakteri koşuları sırasında, VaxForge recall'ını yapay olarak düşüren iki ölçek kaynaklı kusur saptandı ve giderildi. Lokalizasyon adımı başlangıçta tüm proteinleri sabit bir zaman aşımı altında tek konteyner çağrısında işliyordu; en büyük proteomda bu çağrı boş dönüp yüzey antijenlerini yanlış atayan bir sezgisel yedeğe düşürüyordu. Adım artık en çok 800 proteinlik alt-yığınlarda koşuyor. Sınıf I adımı ise NetMHCpan'i tüm proteinlerin birleştirilmiş peptitleriyle tek çağrıda (tam-proteom ölçeğinde yaklaşık 1,37 milyon benzersiz 9-mer) çalıştırıyordu; bu neredeyse sıfır kapsamaya çöküyordu. Adım artık peptitleri 20.000'lik parçalar hâlinde çekirdeklerde paralel işliyor. Kontrol deneyleri toksisite ve alerjenite filtrelerinin suçsuz olduğunu doğruladı; düzeltmelerin ardından üç tür de yeniden koşuldu. Ayrıntı `MANUSCRIPT_METHODS.md`, bölüm B'dedir.</w:t>
      </w:r>
    </w:p>
    <w:p>
      <w:r>
        <w:rPr>
          <w:b/>
          <w:i w:val="0"/>
          <w:sz w:val="24"/>
        </w:rPr>
        <w:t>Veri ve kod erişilebilirliği.</w:t>
      </w:r>
      <w:r>
        <w:rPr>
          <w:b w:val="0"/>
          <w:i w:val="0"/>
          <w:sz w:val="24"/>
        </w:rPr>
        <w:t xml:space="preserve"> Benchmark betikleri, sonuçları ve figürleri `benchmark/` altındadır; hat yöntem atıfları `vaxforge/citations.py`'de, tüm eşikler `config/thresholds.yaml`'dedir.</w:t>
      </w:r>
    </w:p>
    <w:p>
      <w:pPr>
        <w:spacing w:before="200"/>
      </w:pPr>
      <w:r>
        <w:rPr>
          <w:b/>
          <w:i w:val="0"/>
          <w:sz w:val="26"/>
        </w:rPr>
        <w:t>Bulgular</w:t>
      </w:r>
    </w:p>
    <w:p>
      <w:r>
        <w:rPr>
          <w:b/>
          <w:i w:val="0"/>
          <w:sz w:val="24"/>
        </w:rPr>
        <w:t>VaxForge hattı.</w:t>
      </w:r>
      <w:r>
        <w:rPr>
          <w:b w:val="0"/>
          <w:i w:val="0"/>
          <w:sz w:val="24"/>
        </w:rPr>
        <w:t xml:space="preserve"> VaxForge bir proteomu, kodlayan dizileri ya da ham bir genomu otomatik tanımayla alır; ardından keşif, antijen hunisi, konak-duyarlı epitop tahmini, konstrukt kurulumu ve immünizasyon kontrolü gelir. Keşif adımı proteinleri DIAMOND (Buchfink vd., 2021) ile VFDB'ye (Liu vd., 2022) hizalar. Huni; hücre-altı yerleşimi PSORTb (Yu vd., 2010) ve DeepLoc (Thumuluri vd., 2022), transmembran topolojiyi TMHMM (Krogh vd., 2001), sinyal peptidini SignalP (Almagro Armenteros vd., 2019), antijeniteyi IApred (Miles vd., 2025) ile değerlendirir ve otoimmün güvenlik için zorunlu bir insan-homoloji elemesi uygular; birkaç sert kesim dışında kalanları ağırlıklı bir adaylık puanıyla sıralar.</w:t>
      </w:r>
    </w:p>
    <w:p>
      <w:r>
        <w:rPr>
          <w:b w:val="0"/>
          <w:i w:val="0"/>
          <w:sz w:val="24"/>
        </w:rPr>
        <w:t>Huniyi geçen proteinler hattın çekirdeğine, immünolojik katmana girer. NetMHCpan ve NetMHCIIpan (Reynisson vd., 2020) sınıf I ve sınıf II bağlanmayı seçilen konağın allelleri için skorlar; böylece bir T-hücre epitobu ancak hedeflenen türde sunuluyorsa tutulur. T-hücre okumasını üç ek yordayıcı keskinleştirir: sınıf I immünojenite (Calis vd., 2013), proteozomal kesim ile TAP taşınımını birleştiren antijen işleme (Larsen vd., 2005) ve antikor hedefleri için BepiPred-3.0 ile lineer B-hücre epitopları (Clifford vd., 2022). Seçilen epitoplar için VaxForge insan HLA allellerinde popülasyon kapsamını hesaplar; allel frekans verisi bulunmayan konaklarda bu değeri uydurmak yerine "veri yok" olarak bildirir. Tutulan epitoplar, tanımlı linkerlerle (sitotoksik epitoplar arası AAY, yardımcı epitoplar arası GPGPG, B-hücre epitopları için KK) ve bir adjuvanla çok-epitoplu bir konstrukta birleştirilir; konstrukt, antikor ve izotip yanıtını zaman içinde benzeten in silico immünizasyon adımına geçer. Her skorun kaynağı belli olsun diye her yöntem atıfıyla raporlanır.</w:t>
      </w:r>
    </w:p>
    <w:p>
      <w:r>
        <w:rPr>
          <w:b/>
          <w:i w:val="0"/>
          <w:sz w:val="24"/>
        </w:rPr>
        <w:t>VaxForge dört ruhsatlı meningokok antijeninin dördünü de bulur, NERVE 2.0 yalnız birini.</w:t>
      </w:r>
      <w:r>
        <w:rPr>
          <w:b w:val="0"/>
          <w:i w:val="0"/>
          <w:sz w:val="24"/>
        </w:rPr>
        <w:t xml:space="preserve"> İlk karşılaştırmayı serogrup B </w:t>
      </w:r>
      <w:r>
        <w:rPr>
          <w:b w:val="0"/>
          <w:i/>
          <w:sz w:val="24"/>
        </w:rPr>
        <w:t>N. meningitidis</w:t>
      </w:r>
      <w:r>
        <w:rPr>
          <w:b w:val="0"/>
          <w:i w:val="0"/>
          <w:sz w:val="24"/>
        </w:rPr>
        <w:t xml:space="preserve"> (MC58 suşu, proteom UP000000425) üzerinde, dört 4CMenB antijenini ground-truth alarak yaptık. Genişletilmiş 204-protein setinde (dört koruyucu, 200 arka plan, sabit seed) VaxForge dört antijenin dördünü de buldu (recall 4/4; 68 aday; fold 3,12; Fisher p = 0,012); sıralama PorA birinci, faktör H bağlayıcı protein üçüncü, Heparin Bağlayıcı Antijen altıncı, adhezin A sekizinci. Vaxign-ML de dördünü buldu (59 aday); NERVE 2.0 yalnız PorA'yı buldu (recall 1/4). Aynı tablo, kompakt 64-protein setinde ve iki hızlı araç için tam 2.003-protein proteomunda da tekrar etti (Tablo 2; Şekil 1 ve 2). En kritik örnek, virülans-veritabanı negatif olan Heparin Bağlayıcı Antijendir: VaxForge onu yumuşak huniden geçirdi, NERVE 2.0 ise sert seçim adımında eledi. Bağımsız bir makine-öğrenmesi aracının, Vaxign-ML'in, aynı 4/4'e ulaşması, bu davranışın tek araca özgü bir tesadüf değil, yumuşak filtrelemenin bir sonucu olduğunu gösterir.</w:t>
      </w:r>
    </w:p>
    <w:p>
      <w:r>
        <w:rPr>
          <w:b/>
          <w:i w:val="0"/>
          <w:sz w:val="24"/>
        </w:rPr>
        <w:t>Tablo 2.</w:t>
      </w:r>
      <w:r>
        <w:rPr>
          <w:b w:val="0"/>
          <w:i w:val="0"/>
          <w:sz w:val="24"/>
        </w:rPr>
        <w:t xml:space="preserve"> Üç girdi ölçeğinde meningokok karşılaştırması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Araç</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Aday</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(ad)</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Şekil 1.</w:t>
      </w:r>
      <w:r>
        <w:rPr>
          <w:b w:val="0"/>
          <w:i w:val="0"/>
          <w:sz w:val="24"/>
        </w:rPr>
        <w:t xml:space="preserve"> VaxForge ve Vaxign-ML dört ruhsatlı meningokok antijeninin dördünü de bulur, NERVE 2.0 yalnız PorA'yı bulur. Her antijen için, o antijenin her aracın aday listesindeki sırası gösterilir (düşük = daha iyi); çarpı, geri getirilmeyen antijeni işaretler. Sıralar ve recall varsayılan parametrelerle özdeş girdi üzerinde hesaplandı.</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Şekil 2.</w:t>
      </w:r>
      <w:r>
        <w:rPr>
          <w:b w:val="0"/>
          <w:i w:val="0"/>
          <w:sz w:val="24"/>
        </w:rPr>
        <w:t xml:space="preserve"> Bilinen antijenlerdeki recall, araçları AUC'den daha net ayırır. Dört meningokok antijeninin araç-başına recall'ı, ikincil AUC ek notuyla; AUC küçük-örneklem uyarısı taşır ve başlık ölçüt olarak kullanılmaz (n = 4 pozitif).</w:t>
      </w:r>
    </w:p>
    <w:p>
      <w:r>
        <w:rPr>
          <w:b/>
          <w:i w:val="0"/>
          <w:sz w:val="24"/>
        </w:rPr>
        <w:t>Yüksek fold-zenginleşme yüksek recall demek değildir.</w:t>
      </w:r>
      <w:r>
        <w:rPr>
          <w:b w:val="0"/>
          <w:i w:val="0"/>
          <w:sz w:val="24"/>
        </w:rPr>
        <w:t xml:space="preserve"> NERVE 2.0 kısa aday listeleriyle yüksek fold verdi (204 setinde 25, tam proteomda 62,5); bu, yaklaşık 16,6'lık yayınlanmış değeriyle uyumlu. Ne var ki aday sayısı çok küçük olduğundan Fisher p'si anlamlı değildi ve araç her ölçekte dört ruhsatlı antijenden üçünü kaçırdı (Şekil 3). Bu üç kayıp, faktör H bağlayıcı protein, adhezin A ve Heparin Bağlayıcı Antijen, NERVE 2.0'ın kendi sürekli skorunun düşüklüğünden gelmedi; tersine bu skor onları yüksek verdi. Kayba yol açan, skordan sonra gelen sert seçim adımıydı (periplazmik yerleşim, 0,5 eşiğinin altında adhezin olasılığı ve tek transmembran heliksli bilinmeyen yerleşim). Demek ki fold-zenginleşme seçiciliği ödüllendirir ve recall düşerken bile yükselebilir; bu yüzden yalnız başına okununca aldatıcıdır. Bir aracın gerçekte ne verdiğini gösteren ölçüt, bilinen antijenlerdeki recall ve bu antijenlerin sıralarıdır.</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Şekil 3.</w:t>
      </w:r>
      <w:r>
        <w:rPr>
          <w:b w:val="0"/>
          <w:i w:val="0"/>
          <w:sz w:val="24"/>
        </w:rPr>
        <w:t xml:space="preserve"> Yüksek fold-zenginleşme yüksek recall demek değildir. Her aracın adayları arasında bilinen antijenlerin fold-zenginleşmesi; her barın üstünde o koşunun recall'ı yazılı; kesikli çizgi yayınlanmış NERVE 2.0 fold değeri 16,6'yı gösterir. NERVE 2.0 en yüksek fold'a en düşük recall'la (1/4) ulaşır.</w:t>
      </w:r>
    </w:p>
    <w:p>
      <w:r>
        <w:rPr>
          <w:b/>
          <w:i w:val="0"/>
          <w:sz w:val="24"/>
        </w:rPr>
        <w:t>Kalıp genom ölçeğinden bağımsız ve bir doğrulama adımı sonuçları güvenilir kıldı.</w:t>
      </w:r>
      <w:r>
        <w:rPr>
          <w:b w:val="0"/>
          <w:i w:val="0"/>
          <w:sz w:val="24"/>
        </w:rPr>
        <w:t xml:space="preserve"> Tek örnekle sınırlı kalmamak için, artan genom boyutu ve Gram dengesine göre seçtiğimiz üç zoonotik bakteriyi tam proteom ölçeğinde koştuk (Tablo 3). VaxForge </w:t>
      </w:r>
      <w:r>
        <w:rPr>
          <w:b w:val="0"/>
          <w:i/>
          <w:sz w:val="24"/>
        </w:rPr>
        <w:t>Staphylococcus aureus</w:t>
      </w:r>
      <w:r>
        <w:rPr>
          <w:b w:val="0"/>
          <w:i w:val="0"/>
          <w:sz w:val="24"/>
        </w:rPr>
        <w:t xml:space="preserve"> için 5/5 (demir-düzenlenen yüzey belirleyicisi B, 2.889 içinde 4. sırada), </w:t>
      </w:r>
      <w:r>
        <w:rPr>
          <w:b w:val="0"/>
          <w:i/>
          <w:sz w:val="24"/>
        </w:rPr>
        <w:t>Listeria monocytogenes</w:t>
      </w:r>
      <w:r>
        <w:rPr>
          <w:b w:val="0"/>
          <w:i w:val="0"/>
          <w:sz w:val="24"/>
        </w:rPr>
        <w:t xml:space="preserve"> için 4/5 ve </w:t>
      </w:r>
      <w:r>
        <w:rPr>
          <w:b w:val="0"/>
          <w:i/>
          <w:sz w:val="24"/>
        </w:rPr>
        <w:t>Salmonella enterica</w:t>
      </w:r>
      <w:r>
        <w:rPr>
          <w:b w:val="0"/>
          <w:i w:val="0"/>
          <w:sz w:val="24"/>
        </w:rPr>
        <w:t xml:space="preserve"> serovar Typhimurium için 5/5 buldu; toplam 14/15 (Şekil 4). Vaxign-ML 15/15, NERVE 2.0 ise 9/15 bularak meningokoktakiyle aynı türden yüzey antijenlerini yine kaçırdı. Her iki aracın da tam recall'a ulaştığı iki türde VaxForge koruyucu antijenleri Vaxign-ML'den daha üste yerleştirdi. VaxForge'un tek kaybı olan </w:t>
      </w:r>
      <w:r>
        <w:rPr>
          <w:b w:val="0"/>
          <w:i/>
          <w:sz w:val="24"/>
        </w:rPr>
        <w:t>L. monocytogenes</w:t>
      </w:r>
      <w:r>
        <w:rPr>
          <w:b w:val="0"/>
          <w:i w:val="0"/>
          <w:sz w:val="24"/>
        </w:rPr>
        <w:t xml:space="preserve"> ActA'sı gerçekten zor bir antijendir; Vaxign-ML listesinde de en dipte çıktı, yani hedefin zorluğunu yansıtır, bir hat kusurunu değil. Bu koşular sırasında, ilk denemelerde VaxForge recall'ını yapay olarak düşüren iki ölçek kaynaklı kusuru saptayıp giderdik (ilk değerler 3/5, 3/5 ve 0/5); lokalizasyon ve MHC adımları tam-proteom ölçeğinde tek ve aşırı büyük bir yığın altında çöküyordu, ikisini de sınırlı ve paralel alt-yığınlara böldük (`MANUSCRIPT_METHODS.md`, bölüm B). Kontrol deneyleri toksisite ve alerjenite filtrelerinin suçsuz olduğunu doğruladı.</w:t>
      </w:r>
    </w:p>
    <w:p>
      <w:r>
        <w:rPr>
          <w:b/>
          <w:i w:val="0"/>
          <w:sz w:val="24"/>
        </w:rPr>
        <w:t>Tablo 3.</w:t>
      </w:r>
      <w:r>
        <w:rPr>
          <w:b w:val="0"/>
          <w:i w:val="0"/>
          <w:sz w:val="24"/>
        </w:rPr>
        <w:t xml:space="preserve"> Tam proteom ölçeğinde üç-bakteri karşılaştırması; her bakteride beş koruyucu antijen.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Bakteri (genom)</w:t>
            </w:r>
          </w:p>
        </w:tc>
        <w:tc>
          <w:tcPr>
            <w:tcW w:type="dxa" w:w="1440"/>
          </w:tcPr>
          <w:p>
            <w:pPr>
              <w:spacing w:line="240" w:lineRule="auto"/>
              <w:jc w:val="left"/>
            </w:pPr>
            <w:r/>
            <w:r>
              <w:rPr>
                <w:b/>
                <w:i w:val="0"/>
                <w:sz w:val="22"/>
              </w:rPr>
              <w:t>Araç</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Aday</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i w:val="0"/>
                <w:sz w:val="22"/>
              </w:rPr>
              <w:t>Toplam</w:t>
            </w:r>
          </w:p>
        </w:tc>
        <w:tc>
          <w:tcPr>
            <w:tcW w:type="dxa" w:w="1440"/>
          </w:tcPr>
          <w:p>
            <w:pPr>
              <w:spacing w:line="240" w:lineRule="auto"/>
              <w:jc w:val="left"/>
            </w:pPr>
            <w:r/>
            <w:r>
              <w:rPr>
                <w:b/>
                <w:i w:val="0"/>
                <w:sz w:val="22"/>
              </w:rPr>
              <w:t>VaxForge 14/15 · Vaxign-ML 15/15 · NERVE 2.0 9/15</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3180328"/>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3180328"/>
                    </a:xfrm>
                    <a:prstGeom prst="rect"/>
                  </pic:spPr>
                </pic:pic>
              </a:graphicData>
            </a:graphic>
          </wp:inline>
        </w:drawing>
      </w:r>
    </w:p>
    <w:p>
      <w:r>
        <w:rPr>
          <w:b/>
          <w:i w:val="0"/>
          <w:sz w:val="24"/>
        </w:rPr>
        <w:t>Şekil 4.</w:t>
      </w:r>
      <w:r>
        <w:rPr>
          <w:b w:val="0"/>
          <w:i w:val="0"/>
          <w:sz w:val="24"/>
        </w:rPr>
        <w:t xml:space="preserve"> Recall kalıbı üç genom ölçeğinde de sürer. Tam proteom ölçeğinde </w:t>
      </w:r>
      <w:r>
        <w:rPr>
          <w:b w:val="0"/>
          <w:i/>
          <w:sz w:val="24"/>
        </w:rPr>
        <w:t>S. aureus</w:t>
      </w:r>
      <w:r>
        <w:rPr>
          <w:b w:val="0"/>
          <w:i w:val="0"/>
          <w:sz w:val="24"/>
        </w:rPr>
        <w:t xml:space="preserve">, </w:t>
      </w:r>
      <w:r>
        <w:rPr>
          <w:b w:val="0"/>
          <w:i/>
          <w:sz w:val="24"/>
        </w:rPr>
        <w:t>L. monocytogenes</w:t>
      </w:r>
      <w:r>
        <w:rPr>
          <w:b w:val="0"/>
          <w:i w:val="0"/>
          <w:sz w:val="24"/>
        </w:rPr>
        <w:t xml:space="preserve"> ve </w:t>
      </w:r>
      <w:r>
        <w:rPr>
          <w:b w:val="0"/>
          <w:i/>
          <w:sz w:val="24"/>
        </w:rPr>
        <w:t>S.</w:t>
      </w:r>
      <w:r>
        <w:rPr>
          <w:b w:val="0"/>
          <w:i w:val="0"/>
          <w:sz w:val="24"/>
        </w:rPr>
        <w:t xml:space="preserve"> Typhimurium için her aracın beş koruyucu antijendeki recall'ı, AUC ek notuyla; VaxForge toplam 14/15, Vaxign-ML 15/15 ve NERVE 2.0 9/15.</w:t>
      </w:r>
    </w:p>
    <w:p>
      <w:r>
        <w:rPr>
          <w:b/>
          <w:i w:val="0"/>
          <w:sz w:val="24"/>
        </w:rPr>
        <w:t>Konak seçimi öngörülen epitop repertuarını değiştirir; karşılaştırılan araçların ulaşamadığı boyut.</w:t>
      </w:r>
      <w:r>
        <w:rPr>
          <w:b w:val="0"/>
          <w:i w:val="0"/>
          <w:sz w:val="24"/>
        </w:rPr>
        <w:t xml:space="preserve"> VaxForge bağlanma tahminlerini dört konak için küratörlü allel panellerinden alır: insan, fare, sığır ve domuz (Tablo 4). İnsan panelleri IMGT/HLA'dan, diğerleri IPD-MHC'den derlenmiştir. İnsan, fare ve sığırda hem sınıf I hem sınıf II gerçek NetMHCpan ve NetMHCIIpan modelleriyle koşar; sığırın sınıf II BoLA-DRB3 paneli de gerçektir. Domuzda sınıf I gerçek, sınıf II ise tek doğrulanmış allele dayanır. Paneller tam veritabanları değil temsili alt kümelerdir ve geçersiz allel adları çalışma-zamanında elenir; dolayısıyla bildirilen epitoplar temkinlidir.</w:t>
      </w:r>
    </w:p>
    <w:p>
      <w:r>
        <w:rPr>
          <w:b w:val="0"/>
          <w:i w:val="0"/>
          <w:sz w:val="24"/>
        </w:rPr>
        <w:t xml:space="preserve">Virüs kolunu bu konak-özgü sunumu sınamak için kurduk. Tek yapısal proteini olan glikoprotein G'nin nötralize edici ve koruyucu antikorları uyaran tek protein olduğu (Cox vd., 1977) kuduz virüsünde (tür </w:t>
      </w:r>
      <w:r>
        <w:rPr>
          <w:b w:val="0"/>
          <w:i/>
          <w:sz w:val="24"/>
        </w:rPr>
        <w:t>Lyssavirus rabies</w:t>
      </w:r>
      <w:r>
        <w:rPr>
          <w:b w:val="0"/>
          <w:i w:val="0"/>
          <w:sz w:val="24"/>
        </w:rPr>
        <w:t>; RefSeq NC_001542), VaxForge G'yi beş protein içinde ikinci sıraya koydu; daha da önemlisi dört doğal memeli konağın her biri için farklı bağlı-epitop setleri üretti (glikoprotein G: farede 8, insanda 7, sığırda 7, domuzda 5). Glikoprotein G epitoplarının ikili konak örtüşmesi birin belirgin altındaydı (Tablo 5; Şekil 5); yani konak seçimi öngörülen repertuarı gözle görülür biçimde değiştirdi. İki ek dört-konaklı virüs bu etkiyi yineledi: kuduz virüsünün rabdovirüs akrabası veziküler stomatit Indiana virüsü (</w:t>
      </w:r>
      <w:r>
        <w:rPr>
          <w:b w:val="0"/>
          <w:i/>
          <w:sz w:val="24"/>
        </w:rPr>
        <w:t>Vesiculovirus indiana</w:t>
      </w:r>
      <w:r>
        <w:rPr>
          <w:b w:val="0"/>
          <w:i w:val="0"/>
          <w:sz w:val="24"/>
        </w:rPr>
        <w:t>) glikoprotein G'yi yine 5 içinde 2. sıraya koydu ve insan ile domuz örtüşmesi 0,33'e kadar indi; ensefalomiyokardit virüsü (</w:t>
      </w:r>
      <w:r>
        <w:rPr>
          <w:b w:val="0"/>
          <w:i/>
          <w:sz w:val="24"/>
        </w:rPr>
        <w:t>Cardiovirus A</w:t>
      </w:r>
      <w:r>
        <w:rPr>
          <w:b w:val="0"/>
          <w:i w:val="0"/>
          <w:sz w:val="24"/>
        </w:rPr>
        <w:t>) kapsid VP1'i 11 içinde 3. sıraya koydu ve sığır ile domuz arasında hiç ortak epitop çıkmadı. NERVE 2.0 yalnız bakteriler için çalışır, Vaxign-ML'de konak boyutu yoktur (kuduz glikoprotein G'yi konak ayrımı olmadan 5 içinde 4. sıraya koydu); dolayısıyla bu yetenek üç araç arasında yalnız VaxForge'da vardır. Kuduz tek koruyucu antijen sunduğundan buradaki sıra istatistiği çıkarımsal değil betimseldir (permütasyon p = 0,40, n = 1); popülasyon kapsamı da insan-dışı konaklarda uydurulmadan "veri yok" olarak bildirildi.</w:t>
      </w:r>
    </w:p>
    <w:p>
      <w:r>
        <w:rPr>
          <w:b/>
          <w:i w:val="0"/>
          <w:sz w:val="24"/>
        </w:rPr>
        <w:t>Tablo 4.</w:t>
      </w:r>
      <w:r>
        <w:rPr>
          <w:b w:val="0"/>
          <w:i w:val="0"/>
          <w:sz w:val="24"/>
        </w:rPr>
        <w:t xml:space="preserve"> Epitop tahmininde kullanılan konak allel panelleri (temsili alt kümeler; tam paneller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Konak</w:t>
            </w:r>
          </w:p>
        </w:tc>
        <w:tc>
          <w:tcPr>
            <w:tcW w:type="dxa" w:w="2160"/>
          </w:tcPr>
          <w:p>
            <w:pPr>
              <w:spacing w:line="240" w:lineRule="auto"/>
              <w:jc w:val="left"/>
            </w:pPr>
            <w:r/>
            <w:r>
              <w:rPr>
                <w:b/>
                <w:i w:val="0"/>
                <w:sz w:val="22"/>
              </w:rPr>
              <w:t>Sınıf I paneli (n)</w:t>
            </w:r>
          </w:p>
        </w:tc>
        <w:tc>
          <w:tcPr>
            <w:tcW w:type="dxa" w:w="2160"/>
          </w:tcPr>
          <w:p>
            <w:pPr>
              <w:spacing w:line="240" w:lineRule="auto"/>
              <w:jc w:val="left"/>
            </w:pPr>
            <w:r/>
            <w:r>
              <w:rPr>
                <w:b/>
                <w:i w:val="0"/>
                <w:sz w:val="22"/>
              </w:rPr>
              <w:t>Sınıf II paneli (n)</w:t>
            </w:r>
          </w:p>
        </w:tc>
        <w:tc>
          <w:tcPr>
            <w:tcW w:type="dxa" w:w="2160"/>
          </w:tcPr>
          <w:p>
            <w:pPr>
              <w:spacing w:line="240" w:lineRule="auto"/>
              <w:jc w:val="left"/>
            </w:pPr>
            <w:r/>
            <w:r>
              <w:rPr>
                <w:b/>
                <w:i w:val="0"/>
                <w:sz w:val="22"/>
              </w:rPr>
              <w:t>Yordayıcı durumu</w:t>
            </w:r>
          </w:p>
        </w:tc>
      </w:tr>
      <w:tr>
        <w:tc>
          <w:tcPr>
            <w:tcW w:type="dxa" w:w="2160"/>
          </w:tcPr>
          <w:p>
            <w:pPr>
              <w:spacing w:line="240" w:lineRule="auto"/>
              <w:jc w:val="left"/>
            </w:pPr>
            <w:r/>
            <w:r>
              <w:rPr>
                <w:b w:val="0"/>
                <w:i w:val="0"/>
                <w:sz w:val="22"/>
              </w:rPr>
              <w:t>İnsan (HLA)</w:t>
            </w:r>
          </w:p>
        </w:tc>
        <w:tc>
          <w:tcPr>
            <w:tcW w:type="dxa" w:w="2160"/>
          </w:tcPr>
          <w:p>
            <w:pPr>
              <w:spacing w:line="240" w:lineRule="auto"/>
              <w:jc w:val="left"/>
            </w:pPr>
            <w:r/>
            <w:r>
              <w:rPr>
                <w:b w:val="0"/>
                <w:i w:val="0"/>
                <w:sz w:val="22"/>
              </w:rPr>
              <w:t>HLA-A ve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ve NetMHCIIpan, gerçek</w:t>
            </w:r>
          </w:p>
        </w:tc>
      </w:tr>
      <w:tr>
        <w:tc>
          <w:tcPr>
            <w:tcW w:type="dxa" w:w="2160"/>
          </w:tcPr>
          <w:p>
            <w:pPr>
              <w:spacing w:line="240" w:lineRule="auto"/>
              <w:jc w:val="left"/>
            </w:pPr>
            <w:r/>
            <w:r>
              <w:rPr>
                <w:b w:val="0"/>
                <w:i w:val="0"/>
                <w:sz w:val="22"/>
              </w:rPr>
              <w:t>Fare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Sığır (BoLA)</w:t>
            </w:r>
          </w:p>
        </w:tc>
        <w:tc>
          <w:tcPr>
            <w:tcW w:type="dxa" w:w="2160"/>
          </w:tcPr>
          <w:p>
            <w:pPr>
              <w:spacing w:line="240" w:lineRule="auto"/>
              <w:jc w:val="left"/>
            </w:pPr>
            <w:r/>
            <w:r>
              <w:rPr>
                <w:b w:val="0"/>
                <w:i w:val="0"/>
                <w:sz w:val="22"/>
              </w:rPr>
              <w:t>BoLA sınıf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Domuz (SLA)</w:t>
            </w:r>
          </w:p>
        </w:tc>
        <w:tc>
          <w:tcPr>
            <w:tcW w:type="dxa" w:w="2160"/>
          </w:tcPr>
          <w:p>
            <w:pPr>
              <w:spacing w:line="240" w:lineRule="auto"/>
              <w:jc w:val="left"/>
            </w:pPr>
            <w:r/>
            <w:r>
              <w:rPr>
                <w:b w:val="0"/>
                <w:i w:val="0"/>
                <w:sz w:val="22"/>
              </w:rPr>
              <w:t>SLA sınıf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sınıf I gerçek; sınıf II tek allel</w:t>
            </w:r>
          </w:p>
        </w:tc>
      </w:tr>
    </w:tbl>
    <w:p/>
    <w:p>
      <w:r>
        <w:rPr>
          <w:b/>
          <w:i w:val="0"/>
          <w:sz w:val="24"/>
        </w:rPr>
        <w:t>Tablo 5.</w:t>
      </w:r>
      <w:r>
        <w:rPr>
          <w:b w:val="0"/>
          <w:i w:val="0"/>
          <w:sz w:val="24"/>
        </w:rPr>
        <w:t xml:space="preserve"> Üç dört-konaklı virüste konak-özgü epitop çözünürlüğü (VaxForge).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Virüs (tür)</w:t>
            </w:r>
          </w:p>
        </w:tc>
        <w:tc>
          <w:tcPr>
            <w:tcW w:type="dxa" w:w="2160"/>
          </w:tcPr>
          <w:p>
            <w:pPr>
              <w:spacing w:line="240" w:lineRule="auto"/>
              <w:jc w:val="left"/>
            </w:pPr>
            <w:r/>
            <w:r>
              <w:rPr>
                <w:b/>
                <w:i w:val="0"/>
                <w:sz w:val="22"/>
              </w:rPr>
              <w:t>Ground-truth antijen</w:t>
            </w:r>
          </w:p>
        </w:tc>
        <w:tc>
          <w:tcPr>
            <w:tcW w:type="dxa" w:w="2160"/>
          </w:tcPr>
          <w:p>
            <w:pPr>
              <w:spacing w:line="240" w:lineRule="auto"/>
              <w:jc w:val="left"/>
            </w:pPr>
            <w:r/>
            <w:r>
              <w:rPr>
                <w:b/>
                <w:i w:val="0"/>
                <w:sz w:val="22"/>
              </w:rPr>
              <w:t>Sıra</w:t>
            </w:r>
          </w:p>
        </w:tc>
        <w:tc>
          <w:tcPr>
            <w:tcW w:type="dxa" w:w="2160"/>
          </w:tcPr>
          <w:p>
            <w:pPr>
              <w:spacing w:line="240" w:lineRule="auto"/>
              <w:jc w:val="left"/>
            </w:pPr>
            <w:r/>
            <w:r>
              <w:rPr>
                <w:b/>
                <w:i w:val="0"/>
                <w:sz w:val="22"/>
              </w:rPr>
              <w:t>Konak-çifti epitop örtüşmesi (Jaccard)</w:t>
            </w:r>
          </w:p>
        </w:tc>
      </w:tr>
      <w:tr>
        <w:tc>
          <w:tcPr>
            <w:tcW w:type="dxa" w:w="2160"/>
          </w:tcPr>
          <w:p>
            <w:pPr>
              <w:spacing w:line="240" w:lineRule="auto"/>
              <w:jc w:val="left"/>
            </w:pPr>
            <w:r/>
            <w:r>
              <w:rPr>
                <w:b w:val="0"/>
                <w:i w:val="0"/>
                <w:sz w:val="22"/>
              </w:rPr>
              <w:t>Kuduz virüsü (Lyssavirus rabies)</w:t>
            </w:r>
          </w:p>
        </w:tc>
        <w:tc>
          <w:tcPr>
            <w:tcW w:type="dxa" w:w="2160"/>
          </w:tcPr>
          <w:p>
            <w:pPr>
              <w:spacing w:line="240" w:lineRule="auto"/>
              <w:jc w:val="left"/>
            </w:pPr>
            <w:r/>
            <w:r>
              <w:rPr>
                <w:b w:val="0"/>
                <w:i w:val="0"/>
                <w:sz w:val="22"/>
              </w:rPr>
              <w:t>glikoprotein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insan~sığır 0,75; insan~fare 0,67; insan~domuz 0,50</w:t>
            </w:r>
          </w:p>
        </w:tc>
      </w:tr>
      <w:tr>
        <w:tc>
          <w:tcPr>
            <w:tcW w:type="dxa" w:w="2160"/>
          </w:tcPr>
          <w:p>
            <w:pPr>
              <w:spacing w:line="240" w:lineRule="auto"/>
              <w:jc w:val="left"/>
            </w:pPr>
            <w:r/>
            <w:r>
              <w:rPr>
                <w:b w:val="0"/>
                <w:i w:val="0"/>
                <w:sz w:val="22"/>
              </w:rPr>
              <w:t>Veziküler stomatit Indiana virüsü (Vesiculovirus indiana)</w:t>
            </w:r>
          </w:p>
        </w:tc>
        <w:tc>
          <w:tcPr>
            <w:tcW w:type="dxa" w:w="2160"/>
          </w:tcPr>
          <w:p>
            <w:pPr>
              <w:spacing w:line="240" w:lineRule="auto"/>
              <w:jc w:val="left"/>
            </w:pPr>
            <w:r/>
            <w:r>
              <w:rPr>
                <w:b w:val="0"/>
                <w:i w:val="0"/>
                <w:sz w:val="22"/>
              </w:rPr>
              <w:t>glikoprotein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insan~sığır 0,78; insan~domuz 0,33</w:t>
            </w:r>
          </w:p>
        </w:tc>
      </w:tr>
      <w:tr>
        <w:tc>
          <w:tcPr>
            <w:tcW w:type="dxa" w:w="2160"/>
          </w:tcPr>
          <w:p>
            <w:pPr>
              <w:spacing w:line="240" w:lineRule="auto"/>
              <w:jc w:val="left"/>
            </w:pPr>
            <w:r/>
            <w:r>
              <w:rPr>
                <w:b w:val="0"/>
                <w:i w:val="0"/>
                <w:sz w:val="22"/>
              </w:rPr>
              <w:t>Ensefalomiyokardit virüsü (Cardiovirus A)</w:t>
            </w:r>
          </w:p>
        </w:tc>
        <w:tc>
          <w:tcPr>
            <w:tcW w:type="dxa" w:w="2160"/>
          </w:tcPr>
          <w:p>
            <w:pPr>
              <w:spacing w:line="240" w:lineRule="auto"/>
              <w:jc w:val="left"/>
            </w:pPr>
            <w:r/>
            <w:r>
              <w:rPr>
                <w:b w:val="0"/>
                <w:i w:val="0"/>
                <w:sz w:val="22"/>
              </w:rPr>
              <w:t>kapsid VP1</w:t>
            </w:r>
          </w:p>
        </w:tc>
        <w:tc>
          <w:tcPr>
            <w:tcW w:type="dxa" w:w="2160"/>
          </w:tcPr>
          <w:p>
            <w:pPr>
              <w:spacing w:line="240" w:lineRule="auto"/>
              <w:jc w:val="left"/>
            </w:pPr>
            <w:r/>
            <w:r>
              <w:rPr>
                <w:b w:val="0"/>
                <w:i w:val="0"/>
                <w:sz w:val="22"/>
              </w:rPr>
              <w:t>3/11</w:t>
            </w:r>
          </w:p>
        </w:tc>
        <w:tc>
          <w:tcPr>
            <w:tcW w:type="dxa" w:w="2160"/>
          </w:tcPr>
          <w:p>
            <w:pPr>
              <w:spacing w:line="240" w:lineRule="auto"/>
              <w:jc w:val="left"/>
            </w:pPr>
            <w:r/>
            <w:r>
              <w:rPr>
                <w:b w:val="0"/>
                <w:i w:val="0"/>
                <w:sz w:val="22"/>
              </w:rPr>
              <w:t>insan~fare 0,78; sığır~domuz 0,00</w:t>
            </w:r>
          </w:p>
        </w:tc>
      </w:tr>
    </w:tbl>
    <w:p/>
    <w:p>
      <w:pPr>
        <w:jc w:val="center"/>
      </w:pPr>
      <w:r>
        <w:drawing>
          <wp:inline xmlns:a="http://schemas.openxmlformats.org/drawingml/2006/main" xmlns:pic="http://schemas.openxmlformats.org/drawingml/2006/picture">
            <wp:extent cx="5669280" cy="3350029"/>
            <wp:docPr id="5" name="Picture 5"/>
            <wp:cNvGraphicFramePr>
              <a:graphicFrameLocks noChangeAspect="1"/>
            </wp:cNvGraphicFramePr>
            <a:graphic>
              <a:graphicData uri="http://schemas.openxmlformats.org/drawingml/2006/picture">
                <pic:pic>
                  <pic:nvPicPr>
                    <pic:cNvPr id="0" name="fig5_multihost_jaccard.png"/>
                    <pic:cNvPicPr/>
                  </pic:nvPicPr>
                  <pic:blipFill>
                    <a:blip r:embed="rId13"/>
                    <a:stretch>
                      <a:fillRect/>
                    </a:stretch>
                  </pic:blipFill>
                  <pic:spPr>
                    <a:xfrm>
                      <a:off x="0" y="0"/>
                      <a:ext cx="5669280" cy="3350029"/>
                    </a:xfrm>
                    <a:prstGeom prst="rect"/>
                  </pic:spPr>
                </pic:pic>
              </a:graphicData>
            </a:graphic>
          </wp:inline>
        </w:drawing>
      </w:r>
    </w:p>
    <w:p>
      <w:r>
        <w:rPr>
          <w:b/>
          <w:i w:val="0"/>
          <w:sz w:val="24"/>
        </w:rPr>
        <w:t>Şekil 5.</w:t>
      </w:r>
      <w:r>
        <w:rPr>
          <w:b w:val="0"/>
          <w:i w:val="0"/>
          <w:sz w:val="24"/>
        </w:rPr>
        <w:t xml:space="preserve"> Konak seçimi kuduz glikoprotein G epitop repertuarını yeniden biçimlendirir. Her konak çifti için glikoprotein G sınıf I epitoplarının Jaccard örtüşmesi; her çift birin altındadır, yani öngörülen repertuar seçilen konağa bağlıdır.</w:t>
      </w:r>
    </w:p>
    <w:p>
      <w:pPr>
        <w:spacing w:before="200"/>
      </w:pPr>
      <w:r>
        <w:rPr>
          <w:b/>
          <w:i w:val="0"/>
          <w:sz w:val="26"/>
        </w:rPr>
        <w:t>Tartışma</w:t>
      </w:r>
    </w:p>
    <w:p>
      <w:r>
        <w:rPr>
          <w:b w:val="0"/>
          <w:i w:val="0"/>
          <w:sz w:val="24"/>
        </w:rPr>
        <w:t>Ters aşı bilişimi araçlarının kıyasları çoğunlukla küratörlü pozitif ve negatif setlerde zenginleşme ya da sınıflandırıcı doğruluğu bildirir (Goodswen vd., 2023). Bizim karşılaştırmamız, bir kullanıcı için daha belirleyici bir ölçüt ekler: her aracın bağımsız olarak doğrulanmış kaç koruyucu antijeni gerçekten döndürdüğü. Ruhsatlı 4CMenB antijenlerinde (Pizza vd., 2000; Giuliani vd., 2006) VaxForge ve Vaxign-ML dördünü de, NERVE 2.0 ise yalnız birini geri getirdi; dört bakteride VaxForge 14/15'e, Vaxign-ML 15/15'e, NERVE 2.0 9/15'e ulaştı. Bağımsız makine-öğrenmesi sınıflandırıcısının yüksek recall'ı, Ong vd.'nin (2020) Vaxign-ML için bildirdiği başarımla uyumludur; bu, recall tahminlerimizi tek-araca özgü bırakmak yerine güçlendirir. NERVE 2.0'ın eksiği sert seçim basamağından kaynaklanır (Conte vd., 2024): kendi skorunun yüksek verdiği antijenler sabit lokalizasyon ve adezin eşikleriyle elendi; bu, fold-zenginleşmeyi yükseltirken recall'ı düşürdü.</w:t>
      </w:r>
    </w:p>
    <w:p>
      <w:r>
        <w:rPr>
          <w:b w:val="0"/>
          <w:i w:val="0"/>
          <w:sz w:val="24"/>
        </w:rPr>
        <w:t>En açık örnek, klasik bir virülans faktörü olmayan ve küratörlü virülans veritabanlarında bulunmayan ruhsatlı bir 4CMenB bileşeni olan Neisseria Heparin Bağlayıcı Antijendir (Giuliani vd., 2006). Virülans-veritabanı isabetine kapı koyan her hat onu kaybeder; VaxForge ise bu kanıtı yumuşak ve puana-ağırlıklı biçimde kullandığı için korur. Bu, ters aşı bilişimi metodoloji literatüründe katı filtrelerin duyarlılığı görünürdeki özgüllük uğruna feda ettiği yönündeki yinelenen uyarıyla uyumludur (Goodswen vd., 2023) ve araçlar karşılaştırılırken tek başına fold-zenginleşme değil, bilinen antijenlerdeki recall'ın raporlanmasını gerektirir.</w:t>
      </w:r>
    </w:p>
    <w:p>
      <w:r>
        <w:rPr>
          <w:b w:val="0"/>
          <w:i w:val="0"/>
          <w:sz w:val="24"/>
        </w:rPr>
        <w:t>İkinci ayırt edici özellik, konak-özgü epitop tahmini, bakteri-odaklı araçların açık bıraktığı bir boşluğu kapatır. NetMHCpan ve NetMHCIIpan zaten pek çok insan-dışı alleli destekler (Reynisson vd., 2020); ancak ters aşı bilişimi hatları bunları çoğunlukla tek bir insan referansına uygular. Kuduz virüsü ve iki ek virüs incelenen dört memeli konağın hepsini enfekte ettiğinden (Cox vd., 1977; Fooks vd., 2017), her konak için dürüst bir repertuar hesaplayabildik; glikoprotein G epitop setleri türden türe belirgin biçimde farklıydı (ikili Jaccard 0,50-0,78 ve ensefalomiyokardit VP1'de sığır ile domuz arasında hiç ortak epitop yok). Pratik aşı yükünün çoğunu oluşturan veteriner ve zoonotik hedefler için (Fooks vd., 2017; Hampson vd., 2015), yalnız-insan bir epitop katmanı sunumu yanlış verir; dolayısıyla bu yetenek kozmetik değil, somut bir üstünlüktür. VaxForge ayrıca sıralamadan sonra konstrukt kurulumuna ve in silico immünizasyon çıktısına geçer; böylece çıktısı bir liste değil, aday bir immünojendir.</w:t>
      </w:r>
    </w:p>
    <w:p>
      <w:r>
        <w:rPr>
          <w:b w:val="0"/>
          <w:i w:val="0"/>
          <w:sz w:val="24"/>
        </w:rPr>
        <w:t xml:space="preserve">Birkaç sınırlama bu iddiaları çerçeveler. </w:t>
      </w:r>
      <w:r>
        <w:rPr>
          <w:b w:val="0"/>
          <w:i/>
          <w:sz w:val="24"/>
        </w:rPr>
        <w:t>L. monocytogenes</w:t>
      </w:r>
      <w:r>
        <w:rPr>
          <w:b w:val="0"/>
          <w:i w:val="0"/>
          <w:sz w:val="24"/>
        </w:rPr>
        <w:t xml:space="preserve"> ActA'sı VaxForge tarafından kaçırıldı ve bağımsız araçça da en dibe kondu; yani bir hat kusuru değil, gerçekten zor bir hedeftir. Geri kazanımı, lineer-epitop bir hattın modellemediği konformasyonel ya da bağlama-özgü sinyalleri gerektirir; zaten B-hücre epitoplarının çoğu süreksizdir (Michalik vd., 2016). Varsayılan toksisite filtresi, listeriolizin O gibi toksin antijenlerinden gelen peptitleri eleyebilir; bu, kıyas için ayarlamadığımız temkinli bir seçimdir. AUC'yi yalnız ikincil ölçüt olarak, açık bir küçük-örneklem uyarısıyla veriyoruz; çünkü patojen başına dört ila beş pozitif AUC farklarını ayrıştıramaz ve bu temelde üstün ayrım iddia etmiyoruz. Son olarak, tam-proteom VaxForge koşuları bugünkü CPU-yalnız donanımda pratik olmadığından meningokok karşılaştırması araçlar arası adil eşlenmiş alt-örneklemler kullandı; tam proteomlar yalnız hızlı araçlarda koşuldu.</w:t>
      </w:r>
    </w:p>
    <w:p>
      <w:r>
        <w:rPr>
          <w:b w:val="0"/>
          <w:i w:val="0"/>
          <w:sz w:val="24"/>
        </w:rPr>
        <w:t>İki yön öne çıkıyor. Bir GPU arka ucu, tam-proteom VaxForge koşularına ve her patojende tam ölçekli karşılaştırmaya olanak verir; viral glikoprotein epitoplarının türler-arası ayrışması ise bağlanma ve immünizasyon deneyleriyle sınanabilecek somut bir hipotezdir. İki genişleme de yeniden tasarım gerektirmeden mevcut çerçeveye oturur.</w:t>
      </w:r>
    </w:p>
    <w:p>
      <w:pPr>
        <w:spacing w:before="200"/>
      </w:pPr>
      <w:r>
        <w:rPr>
          <w:b/>
          <w:i w:val="0"/>
          <w:sz w:val="26"/>
        </w:rPr>
        <w:t>Kaynaklar</w:t>
      </w:r>
    </w:p>
    <w:p>
      <w:r>
        <w:rPr>
          <w:b w:val="0"/>
          <w:i w:val="0"/>
          <w:sz w:val="24"/>
        </w:rPr>
        <w:t>Kaynaklar APA 7 biçiminde ve DOI bağlantılıdır; İngilizce sürümle (`MANUSCRIPT.md`) aynıdır.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