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five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porcine and avian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pass to epitope prediction, where NetMHCpan and NetMHCIIpan (Reynisson et al., 2020) score class I and class II binding for the chosen host, complemented by class I immunogenicity (Calis et al., 2013), antigen processing (Larsen et al., 2005) and B-cell epitope prediction with BepiPred-3.0 (Clifford et al., 2022). Selected epitopes are assembled into a characterised multi-epitope construct and passed to the in silico immunisation module. Every method is reported with its citation so that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1;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val="0"/>
          <w:i/>
          <w:sz w:val="24"/>
        </w:rPr>
        <w:t>Table 1.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2).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5).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val="0"/>
          <w:i/>
          <w:sz w:val="24"/>
        </w:rPr>
        <w:t>Table 2.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rPr>
          <w:b/>
          <w:i w:val="0"/>
          <w:sz w:val="24"/>
        </w:rPr>
        <w:t>Host selection changes the predicted epitope repertoire, a dimension the comparators cannot address.</w:t>
      </w:r>
      <w:r>
        <w:rPr>
          <w:b w:val="0"/>
          <w:i w:val="0"/>
          <w:sz w:val="24"/>
        </w:rPr>
        <w:t xml:space="preserve"> The viral arm was built to exercise host-specific presentation. Using rabies virus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(Table 3), so the choice of host materially changed the predicted repertoire. Two further four-host viruses reproduced the effect: vesicular stomatitis virus, a rhabdovirus relative of rabies, again placed glycoprotein G at rank 2 of 5 with human and pig overlap as low as 0.33, and encephalomyocarditis virus placed capsid VP1 at rank 3 of 11 with no shared epitopes at all between bovine and pig.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r>
        <w:rPr>
          <w:b w:val="0"/>
          <w:i/>
          <w:sz w:val="24"/>
        </w:rPr>
        <w:t>Table 3. Host-specific epitope resolution across three four-host viruses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Virus</w:t>
            </w:r>
          </w:p>
        </w:tc>
        <w:tc>
          <w:tcPr>
            <w:tcW w:type="dxa" w:w="2160"/>
          </w:tcPr>
          <w:p>
            <w:pPr>
              <w:spacing w:line="240" w:lineRule="auto"/>
              <w:jc w:val="left"/>
            </w:pPr>
            <w:r/>
            <w:r>
              <w:rPr>
                <w:b/>
                <w:i w:val="0"/>
                <w:sz w:val="22"/>
              </w:rPr>
              <w:t>Ground-truth antigen</w:t>
            </w:r>
          </w:p>
        </w:tc>
        <w:tc>
          <w:tcPr>
            <w:tcW w:type="dxa" w:w="2160"/>
          </w:tcPr>
          <w:p>
            <w:pPr>
              <w:spacing w:line="240" w:lineRule="auto"/>
              <w:jc w:val="left"/>
            </w:pPr>
            <w:r/>
            <w:r>
              <w:rPr>
                <w:b/>
                <w:i w:val="0"/>
                <w:sz w:val="22"/>
              </w:rPr>
              <w:t>Rank</w:t>
            </w:r>
          </w:p>
        </w:tc>
        <w:tc>
          <w:tcPr>
            <w:tcW w:type="dxa" w:w="2160"/>
          </w:tcPr>
          <w:p>
            <w:pPr>
              <w:spacing w:line="240" w:lineRule="auto"/>
              <w:jc w:val="left"/>
            </w:pPr>
            <w:r/>
            <w:r>
              <w:rPr>
                <w:b/>
                <w:i w:val="0"/>
                <w:sz w:val="22"/>
              </w:rPr>
              <w:t>Host-pair epitope overlap (Jaccard)</w:t>
            </w:r>
          </w:p>
        </w:tc>
      </w:tr>
      <w:tr>
        <w:tc>
          <w:tcPr>
            <w:tcW w:type="dxa" w:w="2160"/>
          </w:tcPr>
          <w:p>
            <w:pPr>
              <w:spacing w:line="240" w:lineRule="auto"/>
              <w:jc w:val="left"/>
            </w:pPr>
            <w:r/>
            <w:r>
              <w:rPr>
                <w:b w:val="0"/>
                <w:i w:val="0"/>
                <w:sz w:val="22"/>
              </w:rPr>
              <w:t>Rabies virus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0.75; human~mouse 0.67; human~pig 0.50</w:t>
            </w:r>
          </w:p>
        </w:tc>
      </w:tr>
      <w:tr>
        <w:tc>
          <w:tcPr>
            <w:tcW w:type="dxa" w:w="2160"/>
          </w:tcPr>
          <w:p>
            <w:pPr>
              <w:spacing w:line="240" w:lineRule="auto"/>
              <w:jc w:val="left"/>
            </w:pPr>
            <w:r/>
            <w:r>
              <w:rPr>
                <w:b w:val="0"/>
                <w:i w:val="0"/>
                <w:sz w:val="22"/>
              </w:rPr>
              <w:t>Vesicular stomatitis virus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0.78; human~pig 0.33</w:t>
            </w:r>
          </w:p>
        </w:tc>
      </w:tr>
      <w:tr>
        <w:tc>
          <w:tcPr>
            <w:tcW w:type="dxa" w:w="2160"/>
          </w:tcPr>
          <w:p>
            <w:pPr>
              <w:spacing w:line="240" w:lineRule="auto"/>
              <w:jc w:val="left"/>
            </w:pPr>
            <w:r/>
            <w:r>
              <w:rPr>
                <w:b w:val="0"/>
                <w:i w:val="0"/>
                <w:sz w:val="22"/>
              </w:rPr>
              <w:t>Encephalomyocarditis virus</w:t>
            </w:r>
          </w:p>
        </w:tc>
        <w:tc>
          <w:tcPr>
            <w:tcW w:type="dxa" w:w="2160"/>
          </w:tcPr>
          <w:p>
            <w:pPr>
              <w:spacing w:line="240" w:lineRule="auto"/>
              <w:jc w:val="left"/>
            </w:pPr>
            <w:r/>
            <w:r>
              <w:rPr>
                <w:b w:val="0"/>
                <w:i w:val="0"/>
                <w:sz w:val="22"/>
              </w:rPr>
              <w:t>capsid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human~mouse 0.78; bovine~pig 0.00</w:t>
            </w:r>
          </w:p>
        </w:tc>
      </w:tr>
    </w:tbl>
    <w:p/>
    <w:p>
      <w:pPr>
        <w:spacing w:before="200"/>
      </w:pPr>
      <w:r>
        <w:rPr>
          <w:b/>
          <w:i w:val="0"/>
          <w:sz w:val="26"/>
        </w:rPr>
        <w:t>Discussion</w:t>
      </w:r>
    </w:p>
    <w:p>
      <w:r>
        <w:rPr>
          <w:b w:val="0"/>
          <w:i w:val="0"/>
          <w:sz w:val="24"/>
        </w:rPr>
        <w:t>The central result is that VaxForge matches a strong independent predictor on the metric that matters for a reverse vaccinology tool, recovery of known protective antigens, while adding two things that tool does not provide. Across four bacteria VaxForge recovered 14 of 15 validated antigens against 15 of 15 for Vaxign-ML and 9 of 15 for NERVE 2.0, and it placed those antigens at competitive or higher ranks. The consistent shortfall of NERVE 2.0 is instructive: its hard selection step removed genuine surface antigens that its own continuous score had rated highly, which inflated fold enrichment while suppressing recall. A pipeline that reports fold enrichment without recall can therefore look sharper than it is, and we would encourage readers of reverse vaccinology benchmarks to weight recall over known antigens accordingly.</w:t>
      </w:r>
    </w:p>
    <w:p>
      <w:r>
        <w:rPr>
          <w:b w:val="0"/>
          <w:i w:val="0"/>
          <w:sz w:val="24"/>
        </w:rPr>
        <w:t>Two features distinguish VaxForge beyond recall. The soft virulence filter recovered the Neisserial Heparin Binding Antigen, a licensed component with no virulence-database annotation, and the host-aware epitope layer produced species-specific repertoires for rabies, vesicular stomatitis and encephalomyocarditis viruses. The latter is relevant to the large veterinary and zoonotic space where the intended host is not human, and where a single human reference would misstate which peptides are presented. VaxForge also continues past ranking into construct assembly and an in silico immunisation readout, so the output is a candidate immunogen rather than a list.</w:t>
      </w:r>
    </w:p>
    <w:p>
      <w:r>
        <w:rPr>
          <w:b w:val="0"/>
          <w:i w:val="0"/>
          <w:sz w:val="24"/>
        </w:rPr>
        <w:t>Several limitations bound these claims and are stated plainly. ActA was missed by VaxForge, and although it is a genuine hard antigen that the independent tool also ranked last, its recovery would require either conformational or context-specific signals that a linear-epitope pipeline does not model. The default toxicity filter can remove peptides derived from toxin antigens, which lowered peptide-level recall for the pore-forming listeriolysin O before the scale fixes and remains a conservative choice we did not tune for the benchmark. The area-under-curve figures are reported as secondary with an explicit small-sample caveat rather than as a headline, because with only four to five positives per pathogen the differences are not statistically resolvable, and we make no claim of superior discrimination on that basis. The bacterial comparison also carries a scale asymmetry: VaxForge full-proteome meningococcal runs are impractical on the current CPU-only hardware, so the flagship meningococcal comparison used matched subsampled sets that are fair across tools, while whole-proteome runs were available only for the faster comparators. Finally, roughly nine tenths of B-cell epitopes are discontinuous, and the linear construct produced here does not represent conformational epitopes, a scope limit we note rather than resolve.</w:t>
      </w:r>
    </w:p>
    <w:p>
      <w:r>
        <w:rPr>
          <w:b w:val="0"/>
          <w:i w:val="0"/>
          <w:sz w:val="24"/>
        </w:rPr>
        <w:t>Two directions follow directly. A GPU backend would allow whole-proteome VaxForge runs and complete the head-to-head at full scale for every pathogen, and the host-specific epitope predictions, particularly the cross-species divergence seen for the viral glycoproteins, are concrete hypotheses that binding and immunisation experiments could test. The pipeline and its benchmark are structured so that both extensions slot into the existing framework without redesign.</w:t>
      </w:r>
    </w:p>
    <w:p>
      <w:pPr>
        <w:spacing w:before="200"/>
      </w:pPr>
      <w:r>
        <w:rPr>
          <w:b/>
          <w:i w:val="0"/>
          <w:sz w:val="26"/>
        </w:rPr>
        <w:t>Figures</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Figure 1. VaxForge and Vaxign-ML recover all four licensed meningococcal antigens, whereas NERVE 2.0 recovers only PorA.</w:t>
      </w:r>
      <w:r>
        <w:rPr>
          <w:b w:val="0"/>
          <w:i w:val="0"/>
          <w:sz w:val="24"/>
        </w:rPr>
        <w:t xml:space="preserve"> Antigen-by-tool recovery matrix for the four 4CMenB antigens; filled cells mark recovered antigens and the red cells mark antigens discarded by the NERVE 2.0 selection step. Recall and candidate counts are computed under default parameters on identical input.</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Figure 2. Recall over known antigens separates the tools more clearly than area-under-curve.</w:t>
      </w:r>
      <w:r>
        <w:rPr>
          <w:b w:val="0"/>
          <w:i w:val="0"/>
          <w:sz w:val="24"/>
        </w:rPr>
        <w:t xml:space="preserve"> Per-tool recall of the four meningococcal antigens with secondary AUC annotation; AUC carries a small-sample caveat and is not used as the headline metric (n = 4 positives).</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Figure 3. High fold enrichment tracks selectivity, not recall.</w:t>
      </w:r>
      <w:r>
        <w:rPr>
          <w:b w:val="0"/>
          <w:i w:val="0"/>
          <w:sz w:val="24"/>
        </w:rPr>
        <w:t xml:space="preserve"> Fold enrichment against recall for the three tools on the 204-protein set (filled points) and the full proteome (open points); the dashed line marks the published NERVE 2.0 fold value of 16.6. NERVE 2.0 sits at high fold and low recall, while VaxForge and Vaxign-ML sit at full recall and moderate fold.</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Figure 4. Host selection reshapes the rabies glycoprotein G epitope repertoire.</w:t>
      </w:r>
      <w:r>
        <w:rPr>
          <w:b w:val="0"/>
          <w:i w:val="0"/>
          <w:sz w:val="24"/>
        </w:rPr>
        <w:t xml:space="preserve"> Pairwise Jaccard overlap of glycoprotein G class I epitopes across human, bovine, mouse and pig; values below one indicate that the predicted repertoire depends on the chosen host.</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Figure 5. The recall pattern generalises across three genome scales.</w:t>
      </w:r>
      <w:r>
        <w:rPr>
          <w:b w:val="0"/>
          <w:i w:val="0"/>
          <w:sz w:val="24"/>
        </w:rPr>
        <w:t xml:space="preserve">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r>
        <w:rPr>
          <w:b w:val="0"/>
          <w:i w:val="0"/>
          <w:sz w:val="24"/>
        </w:rPr>
        <w:t>Note: figure panels currently carry Turkish axis and title text; English-labelled versions can be regenerated from `make_figures.py` if required by the target journal.</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