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1;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val="0"/>
          <w:i/>
          <w:sz w:val="24"/>
        </w:rPr>
        <w:t>Table 1.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2).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val="0"/>
          <w:i/>
          <w:sz w:val="24"/>
        </w:rPr>
        <w:t>Table 2.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3),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val="0"/>
          <w:i/>
          <w:sz w:val="24"/>
        </w:rPr>
        <w:t>Table 3.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Using rabies virus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4), so the choice of host materially changed the predicted repertoire. Two further four-host viruses reproduced the effect: vesicular stomatitis virus, a rhabdovirus relative of rabies, again placed glycoprotein G at rank 2 of 5 with human and pig overlap as low as 0.33, and encephalomyocarditis virus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val="0"/>
          <w:i/>
          <w:sz w:val="24"/>
        </w:rPr>
        <w:t>Table 4.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spacing w:before="200"/>
      </w:pPr>
      <w:r>
        <w:rPr>
          <w:b/>
          <w:i w:val="0"/>
          <w:sz w:val="26"/>
        </w:rPr>
        <w:t>Discussion</w:t>
      </w:r>
    </w:p>
    <w:p>
      <w:r>
        <w:rPr>
          <w:b w:val="0"/>
          <w:i w:val="0"/>
          <w:sz w:val="24"/>
        </w:rPr>
        <w:t>VaxForge recovered known protective antigens as well as a strong independent predictor and added two capabilities that predictor does not have. Across four bacteria it found 14 of 15 validated antigens, against 15 of 15 for Vaxign-ML and 9 of 15 for NERVE 2.0, and it ranked them as high or higher. NERVE 2.0 fell short for a concrete reason: its hard selection step discarded genuine surface antigens that its own continuous score had rated highly, which raised fold enrichment while cutting recall. Fold enrichment can make a pipeline look sharper than it is, so recall over known antigens is the number to trust in this kind of benchmark.</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Figures</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Figure 1. VaxForge and Vaxign-ML recover all four licensed meningococcal antigens, whereas NERVE 2.0 recovers only PorA.</w:t>
      </w:r>
      <w:r>
        <w:rPr>
          <w:b w:val="0"/>
          <w:i w:val="0"/>
          <w:sz w:val="24"/>
        </w:rPr>
        <w:t xml:space="preserve"> Antigen-by-tool recovery matrix for the four 4CMenB antigens; filled cells mark recovered antigens and the red cells mark antigens discarded by the NERVE 2.0 selection step. Recall and candidate counts are computed under default parameters on identical input.</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Figure 2. Recall over known antigens separates the tools more clearly than area-under-curve.</w:t>
      </w:r>
      <w:r>
        <w:rPr>
          <w:b w:val="0"/>
          <w:i w:val="0"/>
          <w:sz w:val="24"/>
        </w:rPr>
        <w:t xml:space="preserve"> Per-tool recall of the four meningococcal antigens with secondary AUC annotation; AUC carries a small-sample caveat and is not used as the headline metric (n = 4 positives).</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Figure 3. High fold enrichment tracks selectivity, not recall.</w:t>
      </w:r>
      <w:r>
        <w:rPr>
          <w:b w:val="0"/>
          <w:i w:val="0"/>
          <w:sz w:val="24"/>
        </w:rPr>
        <w:t xml:space="preserve"> Fold enrichment against recall for the three tools on the 204-protein set (filled points) and the full proteome (open points); the dashed line marks the published NERVE 2.0 fold value of 16.6. NERVE 2.0 sits at high fold and low recall, while VaxForge and Vaxign-ML sit at full recall and moderate fold.</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Figure 4. Host selection reshapes the rabies glycoprotein G epitope repertoire.</w:t>
      </w:r>
      <w:r>
        <w:rPr>
          <w:b w:val="0"/>
          <w:i w:val="0"/>
          <w:sz w:val="24"/>
        </w:rPr>
        <w:t xml:space="preserve"> Pairwise Jaccard overlap of glycoprotein G class I epitopes across human, bovine, mouse and pig; values below one indicate that the predicted repertoire depends on the chosen host.</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Figure 5. The recall pattern generalises across three genome scales.</w:t>
      </w:r>
      <w:r>
        <w:rPr>
          <w:b w:val="0"/>
          <w:i w:val="0"/>
          <w:sz w:val="24"/>
        </w:rPr>
        <w:t xml:space="preserve">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val="0"/>
          <w:i w:val="0"/>
          <w:sz w:val="24"/>
        </w:rPr>
        <w:t>Note: figure panels currently carry Turkish axis and title text; English-labelled versions can be regenerated from `make_figures.py` if required by the target journal.</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