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Host-resolved reverse vaccinology: VaxForge couples whole-proteome antigen discovery to species-specific epitope prediction and construct assembly</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restructured 2026-10-10 (supersedes the 2026-09-20 draft). Extended methods narrative in `MANUSCRIPT_METHODS.md`; ground-truth antigen evidence and DOIs in `PROTECTIVE_ANTIGENS.md`; accessions in `PATHOGEN_ACCESSIONS.md`; per-antigen miss attribution in `MISS_ATTRIBUTION.md`. Figure file mapping: Fig. 1 `fig1_antigen_recovery`, Fig. 2 `fig2_recall_bar`, Fig. 3 `fig3_fold_vs_recall`, Fig. 4 `fig4_bacteria_panel`, Fig. 5 `fig6_virus_antigen_rank`, Fig. 6 `fig7_virus_multihost`, Fig. S1 `figS1_brucella_vaccine`, Fig. S2 `fig5_multihost_jaccard`.</w:t>
      </w:r>
    </w:p>
    <w:p>
      <w:pPr>
        <w:spacing w:before="200"/>
      </w:pPr>
      <w:r>
        <w:rPr>
          <w:b/>
          <w:i w:val="0"/>
          <w:sz w:val="26"/>
        </w:rPr>
        <w:t>Abstract</w:t>
      </w:r>
    </w:p>
    <w:p>
      <w:r>
        <w:rPr>
          <w:b w:val="0"/>
          <w:i w:val="0"/>
          <w:sz w:val="24"/>
        </w:rPr>
        <w:t>Reverse vaccinology ranks candidate antigens from a pathogen genome, but the tools in common use stop at the ranking step and model the host as a single human reference, which limits their value for the veterinary and zoonotic targets that carry much of the global vaccine burden. We present VaxForge, a deterministic pipeline that carries a proteome through a soft-filter antigen funnel, class I and class II epitope prediction against curated allele panels for four mammalian hosts, multi-epitope construct assembly and an in silico immunisation readout. Benchmarked under default parameters against NERVE 2.0 and Vaxign-ML on ten bacteria at whole-proteome scale, VaxForge recovered 37 of 48 independently validated protective antigens, against 47 of 48 for Vaxign-ML and 14 of 48 for NERVE 2.0, and recovered all four licensed 4CMenB antigens where NERVE 2.0 recovered one. We then attributed every missed antigen to a specific pipeline step. Six of the eleven misses were removed by the mandatory host-homology filter, a relationship that is absolute in one direction: no recovered antigen carried a human homologue (0 of 37; Fisher exact p = 3.8 × 10⁻⁵). The recall gap is therefore a quantified safety-sensitivity trade-off rather than a failure of discrimination. We further show that 26 of the 44 ground-truth antigens of the generalisation benchmark, 59%, are at least 90% identical to records in Protegen, the training source of the supervised comparator, and that the comparator's ranking advantage is concentrated there: its median rank degrades from 70 on antigens that are its own training labels to 214 on the seven antigens independent of that source, none of which it places in its top twenty, while VaxForge places three of the seven. Across ten viruses the predicted epitope repertoire of the protective antigen differed between host species in every case, with host pairs sharing no epitopes at all for several viruses, a dimension neither comparator can resolve.</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from the whole-genome sequence rather than from cultured components (Pizza et al., 2000), and produced the antigens behind the licensed four-component meningococcal vaccine: factor H binding protein, Neisserial adhesin A and Neisserial Heparin Binding Antigen, together with a PorA-bearing outer-membrane vesicle (Giuliani et al., 2006). Two decades later the approach is served by mature software spanning two design philosophies (Goodswen et al., 2023). Filter-based environments such as NERVE 2.0 pass proteins through a cascade of cut-offs on localisation, topology and adhesin probability (Conte et al., 2024). Classifier-based methods score sequence directly: Vaxign-ML applies gradient boosting to curated descriptors (Ong et al., 2020), and the current generation replaces those descriptors with protein language model embeddings, as in Vaxign-DL (Chen et al., 2024), the descriptor-free ESM-2 pipeline of Podda et al. (2025), and the sequence-plus-structure framework PLGDL, which added geometric deep learning and validated a previously uncharacterised orthopoxvirus antigen in vivo (Zai et al., 2025).</w:t>
      </w:r>
    </w:p>
    <w:p>
      <w:r>
        <w:rPr>
          <w:b w:val="0"/>
          <w:i w:val="0"/>
          <w:sz w:val="24"/>
        </w:rPr>
        <w:t>That progress has been concentrated almost entirely on one question: how accurately a model separates protective antigens from the rest of a proteome. Three practical gaps have been left largely untouched. First, a hard virulence or localisation filter can raise the apparent enrichment of a candidate list while silently discarding true antigens, and the Neisserial Heparin Binding Antigen is the standing example, being absent from curated virulence databases yet a licensed vaccine component. Second, epitope-level output is computed against a single human reference, which leaves cattle, pig and mouse targets without an honest presentation model even though NetMHCpan and NetMHCIIpan support many non-human alleles (Reynisson et al., 2020). Third, the pipelines end at a ranked protein list, so epitope selection, construct assembly and a first immunological check remain manual. A classifier that ranks antigens more accurately does not close any of the three.</w:t>
      </w:r>
    </w:p>
    <w:p>
      <w:r>
        <w:rPr>
          <w:b w:val="0"/>
          <w:i w:val="0"/>
          <w:sz w:val="24"/>
        </w:rPr>
        <w:t>VaxForge was built to close them inside one deterministic pipeline. It replaces the hard virulence gate with a soft, score-weighted term, so a genuine surface antigen with no virulence annotation can still pass; it predicts class I and class II binding against curated allele panels for human, mouse, bovine and porcine hosts; and it continues past ranking into a characterised multi-epitope construct and an in silico immunisation readout. Here we quantify its behaviour against NERVE 2.0 and Vaxign-ML on ten bacteria and ten viruses under default parameters, we attribute every antigen it missed to a specific pipeline step rather than reporting recall alone, and we show that the resulting recall gap against a pure classifier is dominated by a deliberate safety filter whose action we can measure.</w:t>
      </w:r>
    </w:p>
    <w:p>
      <w:pPr>
        <w:spacing w:before="200"/>
      </w:pPr>
      <w:r>
        <w:rPr>
          <w:b/>
          <w:i w:val="0"/>
          <w:sz w:val="26"/>
        </w:rPr>
        <w:t>Results</w:t>
      </w:r>
    </w:p>
    <w:p>
      <w:r>
        <w:rPr>
          <w:b/>
          <w:i w:val="0"/>
          <w:sz w:val="24"/>
        </w:rPr>
        <w:t>VaxForge couples a soft-filter funnel to a host-resolved immunological layer.</w:t>
      </w:r>
      <w:r>
        <w:rPr>
          <w:b w:val="0"/>
          <w:i w:val="0"/>
          <w:sz w:val="24"/>
        </w:rPr>
        <w:t xml:space="preserve"> VaxForge detects whether its input is a proteome, coding sequences or a raw genome, then runs discovery, an antigen funnel, host-aware epitope prediction, construct assembly and an immunisation check, reading every cutoff from one configuration file so that no threshold is hard-coded. The funnel applies three hard filters, on subcellular localisation, transmembrane topology and host homology, and treats virulence evidence, signal peptides, antigenicity, cross-strain conservation and adhesin probability as soft, score-weighted terms. Surviving proteins enter the immunological layer, which is the part that distinguishes the pipeline: class I and class II binding are predicted for the alleles of the chosen host, so a T-cell epitope is retained only if it is presented in the intended species, and three further predictors refine the readout through class I immunogenicity, proteasomal cleavage with TAP transport, and linear B-cell epitopes. Retained epitopes are assembled with defined linkers and an adjuvant into a construct that is characterised physicochemically and passed to the immunisation step. Population coverage is computed for human HLA and reported as unavailable, rather than imputed, for hosts without allele-frequency data. Table 1 sets the resulting capability surface beside the two comparators.</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VaxForge recovers all four licensed meningococcal antigens where NERVE 2.0 recovers one.</w:t>
      </w:r>
      <w:r>
        <w:rPr>
          <w:b w:val="0"/>
          <w:i w:val="0"/>
          <w:sz w:val="24"/>
        </w:rPr>
        <w:t xml:space="preserve"> We first benchmarked on </w:t>
      </w:r>
      <w:r>
        <w:rPr>
          <w:b w:val="0"/>
          <w:i/>
          <w:sz w:val="24"/>
        </w:rPr>
        <w:t>N. meningitidis</w:t>
      </w:r>
      <w:r>
        <w:rPr>
          <w:b w:val="0"/>
          <w:i w:val="0"/>
          <w:sz w:val="24"/>
        </w:rPr>
        <w:t xml:space="preserve"> MC58 with the four 4CMenB antigens as ground truth. On an expanded 204-protein set (four protective plus 200 background, fixed seed) VaxForge recovered all four (68 candidates; fold enrichment 3.12; Fisher exact p = 0.012), ranking PorA first, factor H binding protein third, the Heparin Binding Antigen sixth and adhesin A eighth. Vaxign-ML also recovered all four from 59 candidates, whereas NERVE 2.0 recovered only PorA. The pattern held on a compact 64-protein set and on the full 2,003-protein proteome for the two faster tools (Table 2; Figs. 1 and 2). The decisive case is the Heparin Binding Antigen, which is virulence-database negative: VaxForge retained it through the soft funnel while NERVE 2.0 removed it at its hard selection step. That an independent classifier reached the same 4 of 4 indicates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Fold enrichment and recall diverge, and can move in opposite directions.</w:t>
      </w:r>
      <w:r>
        <w:rPr>
          <w:b w:val="0"/>
          <w:i w:val="0"/>
          <w:sz w:val="24"/>
        </w:rPr>
        <w:t xml:space="preserve"> NERVE 2.0 produced short candidate lists with high fold enrichment, 25 on the 204 set and 62.5 on the full proteome, consistent with the value near 16.6 reported for its best configuration (Conte et al., 2024), yet its Fisher exact p was not significant because the candidate count was very small, and it missed three of the four licensed antigens at every scale (Fig. 3). Those three losses were not caused by low continuous scores from NERVE 2.0, which rated them highly, but by the hard selection step applied after scoring: periplasmic localisation, an adhesin probability below the 0.5 cut-off, and an unknown-localisation call with one predicted transmembrane helix. Fold enrichment rewards selectivity and can therefore rise precisely as recall falls. The quantity that reflects what a tool delivers to a user is recall over independently validated antigens, together with the ranks at which they appear.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holds across ten bacteria at whole-proteome scale.</w:t>
      </w:r>
      <w:r>
        <w:rPr>
          <w:b w:val="0"/>
          <w:i w:val="0"/>
          <w:sz w:val="24"/>
        </w:rPr>
        <w:t xml:space="preserve"> To move beyond a single exemplar we ran nine further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44 protective antigens of these nine species VaxForge recovered 33, against 43 for Vaxign-ML and 13 for NERVE 2.0; including the meningococcal exemplar the totals are 37, 47 and 14 of 48 (Fig. 4). VaxForge reached 4 of 5 or 5 of 5 on seven of the nine species, including </w:t>
      </w:r>
      <w:r>
        <w:rPr>
          <w:b w:val="0"/>
          <w:i/>
          <w:sz w:val="24"/>
        </w:rPr>
        <w:t>Staphylococcus aureus</w:t>
      </w:r>
      <w:r>
        <w:rPr>
          <w:b w:val="0"/>
          <w:i w:val="0"/>
          <w:sz w:val="24"/>
        </w:rPr>
        <w:t xml:space="preserve"> (iron-regulated surface determinant B at rank 4 of 2,889 proteins), </w:t>
      </w:r>
      <w:r>
        <w:rPr>
          <w:b w:val="0"/>
          <w:i/>
          <w:sz w:val="24"/>
        </w:rPr>
        <w:t>Salmonella</w:t>
      </w:r>
      <w:r>
        <w:rPr>
          <w:b w:val="0"/>
          <w:i w:val="0"/>
          <w:sz w:val="24"/>
        </w:rPr>
        <w:t xml:space="preserve">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 interrogans</w:t>
      </w:r>
      <w:r>
        <w:rPr>
          <w:b w:val="0"/>
          <w:i w:val="0"/>
          <w:sz w:val="24"/>
        </w:rPr>
        <w:t xml:space="preserve"> and </w:t>
      </w:r>
      <w:r>
        <w:rPr>
          <w:b w:val="0"/>
          <w:i/>
          <w:sz w:val="24"/>
        </w:rPr>
        <w:t>B. anthracis</w:t>
      </w:r>
      <w:r>
        <w:rPr>
          <w:b w:val="0"/>
          <w:i w:val="0"/>
          <w:sz w:val="24"/>
        </w:rPr>
        <w:t xml:space="preserve">, for which the anthrax protective antigen was recovered at rank 2. NERVE 2.0 returned none of the protective antigens for four of the nine species, including the two, </w:t>
      </w:r>
      <w:r>
        <w:rPr>
          <w:b w:val="0"/>
          <w:i/>
          <w:sz w:val="24"/>
        </w:rPr>
        <w:t>B. suis</w:t>
      </w:r>
      <w:r>
        <w:rPr>
          <w:b w:val="0"/>
          <w:i w:val="0"/>
          <w:sz w:val="24"/>
        </w:rPr>
        <w:t xml:space="preserve"> and </w:t>
      </w:r>
      <w:r>
        <w:rPr>
          <w:b w:val="0"/>
          <w:i/>
          <w:sz w:val="24"/>
        </w:rPr>
        <w:t>B. anthracis</w:t>
      </w:r>
      <w:r>
        <w:rPr>
          <w:b w:val="0"/>
          <w:i w:val="0"/>
          <w:sz w:val="24"/>
        </w:rPr>
        <w:t>, where it reached the highest fold enrichment of any tool (185 and 274).</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 (nine species)</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the species whose protective antigens are secreted or surface-exposed, and the species where it falls behind are those whose ground-truth sets are dominated by conserved housekeeping proteins; NERVE 2.0 recovers none of the antigens for four species.</w:t>
      </w:r>
    </w:p>
    <w:p>
      <w:r>
        <w:rPr>
          <w:b/>
          <w:i w:val="0"/>
          <w:sz w:val="24"/>
        </w:rPr>
        <w:t>Every missed antigen is attributable to a named step, and the largest single cause is the host-homology filter acting as designed.</w:t>
      </w:r>
      <w:r>
        <w:rPr>
          <w:b w:val="0"/>
          <w:i w:val="0"/>
          <w:sz w:val="24"/>
        </w:rPr>
        <w:t xml:space="preserve"> Reporting recall alone leaves the reader unable to distinguish a design choice from a defect, so we traced each of the 11 antigens that VaxForge did not recover to the step that removed it, using the pipeline's own intermediate outputs together with DIAMOND alignment against the human proteome (Methods; `MISS_ATTRIBUTION.md`). The misses partition cleanly into four causes, and none is a scale-dependent engineering failure of the kind corrected earlier in this work.</w:t>
      </w:r>
    </w:p>
    <w:p>
      <w:r>
        <w:rPr>
          <w:b w:val="0"/>
          <w:i w:val="0"/>
          <w:sz w:val="24"/>
        </w:rPr>
        <w:t xml:space="preserve">Six of the 11, the 6-phosphogluconate dehydrogenase of </w:t>
      </w:r>
      <w:r>
        <w:rPr>
          <w:b w:val="0"/>
          <w:i/>
          <w:sz w:val="24"/>
        </w:rPr>
        <w:t>S. suis</w:t>
      </w:r>
      <w:r>
        <w:rPr>
          <w:b w:val="0"/>
          <w:i w:val="0"/>
          <w:sz w:val="24"/>
        </w:rPr>
        <w:t xml:space="preserve">, the GroEL/HtpB chaperone of </w:t>
      </w:r>
      <w:r>
        <w:rPr>
          <w:b w:val="0"/>
          <w:i/>
          <w:sz w:val="24"/>
        </w:rPr>
        <w:t>C. burnetii</w:t>
      </w:r>
      <w:r>
        <w:rPr>
          <w:b w:val="0"/>
          <w:i w:val="0"/>
          <w:sz w:val="24"/>
        </w:rPr>
        <w:t>, enolase, glyceraldehyde-3-phosphate dehydrogenase, the Mip peptidyl-prolyl isomerase and the DnaJ chaperone, were removed by the mandatory host-homology filter, which excludes proteins above 35% identity to the human proteome. The association is absolute in one direction: all six carried a human homologue at 37.0 to 52.3% identity, while none of the 37 recovered antigens carried any human hit at all, most producing no alignment above threshold (0 of 37; Fisher exact p = 3.8 × 10⁻⁵, odds ratio infinite). All six belong to the same biological class, conserved cytoplasmic housekeeping proteins that moonlight on the bacterial surface, for which a detectable human orthologue is near-unavoidable. These are therefore not antigens the pipeline failed to recognise but antigens it declined on safety grounds, and they account for more than half the recall gap to a classifier that applies no host-homology exclusion.</w:t>
      </w:r>
    </w:p>
    <w:p>
      <w:r>
        <w:rPr>
          <w:b w:val="0"/>
          <w:i w:val="0"/>
          <w:sz w:val="24"/>
        </w:rPr>
        <w:t xml:space="preserve">Two further misses, the CapB capsule biosynthesis protein of </w:t>
      </w:r>
      <w:r>
        <w:rPr>
          <w:b w:val="0"/>
          <w:i/>
          <w:sz w:val="24"/>
        </w:rPr>
        <w:t>B. anthracis</w:t>
      </w:r>
      <w:r>
        <w:rPr>
          <w:b w:val="0"/>
          <w:i w:val="0"/>
          <w:sz w:val="24"/>
        </w:rPr>
        <w:t xml:space="preserve"> and ActA of </w:t>
      </w:r>
      <w:r>
        <w:rPr>
          <w:b w:val="0"/>
          <w:i/>
          <w:sz w:val="24"/>
        </w:rPr>
        <w:t>L. monocytogenes</w:t>
      </w:r>
      <w:r>
        <w:rPr>
          <w:b w:val="0"/>
          <w:i w:val="0"/>
          <w:sz w:val="24"/>
        </w:rPr>
        <w:t xml:space="preserve">, expose a genuine configuration inconsistency rather than a design choice. The permitted-localisation list for bacteria was written with Gram-negative architecture in mind and admits extracellular, outer-membrane, cell-wall and periplasmic calls. Gram-positive bacteria have no outer membrane, so their surface-exposed proteins receive the PSORTb `membrane` label, which that list does not admit; both antigens were removed despite a maximal localisation score of 10.0 and a single predicted transmembrane helix. One miss, LigA of </w:t>
      </w:r>
      <w:r>
        <w:rPr>
          <w:b w:val="0"/>
          <w:i/>
          <w:sz w:val="24"/>
        </w:rPr>
        <w:t>L. interrogans</w:t>
      </w:r>
      <w:r>
        <w:rPr>
          <w:b w:val="0"/>
          <w:i w:val="0"/>
          <w:sz w:val="24"/>
        </w:rPr>
        <w:t xml:space="preserve">, follows a localisation call that PSORTb makes with a score of 9.97 on a characterised surface lipoprotein. We first read this as an error specific to that predictor, and tested it against an architecturally independent one: DeepLocPro 1.0, a prokaryote-specific model built on ESM-2 embeddings and trained on experimentally verified PSORTdb 4.0 data, which outperforms PSORTb 3.0 across all organism groups and, on the cell wall and surface class in particular, by a margin that leaves PSORTb close to random (Matthews correlation 0.28 against −0.02 for Gram-positive and 0.80 against 0.00 for Gram-negative organisms; Moreno et al., 2024). On the eight antigens we tested, the five </w:t>
      </w:r>
      <w:r>
        <w:rPr>
          <w:b w:val="0"/>
          <w:i/>
          <w:sz w:val="24"/>
        </w:rPr>
        <w:t>S. suis</w:t>
      </w:r>
      <w:r>
        <w:rPr>
          <w:b w:val="0"/>
          <w:i w:val="0"/>
          <w:sz w:val="24"/>
        </w:rPr>
        <w:t xml:space="preserve"> ground-truth proteins, CapB, ActA and LigA, the two predictors returned the same top call in every case, and DeepLocPro places LigA in the cytoplasm at 0.995 confidence (`results/localization_agreement.json`). The miss is therefore a limit of sequence-based localisation prediction as such rather than of one implementation, and it is not closed by substituting the newer tool. The same measurement raises the moonlighting interpretation of the host-homology misses from a single-tool assumption to a two-tool result: enolase, GAPDH, 6-phosphogluconate dehydrogenase and DnaJ are called cytoplasmic by both predictors at 0.845 to 0.988 confidence, which is what non-classical surface display looks like to any method that reads only the sequence. The remaining two, ESAT-6 of </w:t>
      </w:r>
      <w:r>
        <w:rPr>
          <w:b w:val="0"/>
          <w:i/>
          <w:sz w:val="24"/>
        </w:rPr>
        <w:t>M. bovis</w:t>
      </w:r>
      <w:r>
        <w:rPr>
          <w:b w:val="0"/>
          <w:i w:val="0"/>
          <w:sz w:val="24"/>
        </w:rPr>
        <w:t xml:space="preserve"> and L7/L12 of </w:t>
      </w:r>
      <w:r>
        <w:rPr>
          <w:b w:val="0"/>
          <w:i/>
          <w:sz w:val="24"/>
        </w:rPr>
        <w:t>Brucella</w:t>
      </w:r>
      <w:r>
        <w:rPr>
          <w:b w:val="0"/>
          <w:i w:val="0"/>
          <w:sz w:val="24"/>
        </w:rPr>
        <w:t>, survived all three hard filters and were lost at the epitope stage, having yielded no candidate peptide. We tested and rejected the obvious explanation: the toxicity filter flagged only 60% of ESAT-6 9-mers, the lowest of the four proteins examined, while the CFP-10 control was flagged at 82% and still produced two peptides, and protein length does not separate them (100 against 95 residues). The loss therefore occurs at the MHC binding and scoring thresholds, which is a legitimate prediction-level miss rather than a systematic fault.</w:t>
      </w:r>
    </w:p>
    <w:p>
      <w:r>
        <w:rPr>
          <w:b/>
          <w:i w:val="0"/>
          <w:sz w:val="24"/>
        </w:rPr>
        <w:t>Table 4.</w:t>
      </w:r>
      <w:r>
        <w:rPr>
          <w:b w:val="0"/>
          <w:i w:val="0"/>
          <w:sz w:val="24"/>
        </w:rPr>
        <w:t xml:space="preserve"> Attribution of all 11 protective antigens that VaxForge did not recover across the ten-bacterium benchmark, by the pipeline step responsible. Per-antigen human identity values and recovery status are in `results/miss_attribution.json`.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Cause</w:t>
            </w:r>
          </w:p>
        </w:tc>
        <w:tc>
          <w:tcPr>
            <w:tcW w:type="dxa" w:w="2160"/>
          </w:tcPr>
          <w:p>
            <w:pPr>
              <w:spacing w:line="240" w:lineRule="auto"/>
              <w:jc w:val="left"/>
            </w:pPr>
            <w:r/>
            <w:r>
              <w:rPr>
                <w:b/>
                <w:i w:val="0"/>
                <w:sz w:val="22"/>
              </w:rPr>
              <w:t>n</w:t>
            </w:r>
          </w:p>
        </w:tc>
        <w:tc>
          <w:tcPr>
            <w:tcW w:type="dxa" w:w="2160"/>
          </w:tcPr>
          <w:p>
            <w:pPr>
              <w:spacing w:line="240" w:lineRule="auto"/>
              <w:jc w:val="left"/>
            </w:pPr>
            <w:r/>
            <w:r>
              <w:rPr>
                <w:b/>
                <w:i w:val="0"/>
                <w:sz w:val="22"/>
              </w:rPr>
              <w:t>Antigens</w:t>
            </w:r>
          </w:p>
        </w:tc>
        <w:tc>
          <w:tcPr>
            <w:tcW w:type="dxa" w:w="2160"/>
          </w:tcPr>
          <w:p>
            <w:pPr>
              <w:spacing w:line="240" w:lineRule="auto"/>
              <w:jc w:val="left"/>
            </w:pPr>
            <w:r/>
            <w:r>
              <w:rPr>
                <w:b/>
                <w:i w:val="0"/>
                <w:sz w:val="22"/>
              </w:rPr>
              <w:t>Interpretation</w:t>
            </w:r>
          </w:p>
        </w:tc>
      </w:tr>
      <w:tr>
        <w:tc>
          <w:tcPr>
            <w:tcW w:type="dxa" w:w="2160"/>
          </w:tcPr>
          <w:p>
            <w:pPr>
              <w:spacing w:line="240" w:lineRule="auto"/>
              <w:jc w:val="left"/>
            </w:pPr>
            <w:r/>
            <w:r>
              <w:rPr>
                <w:b w:val="0"/>
                <w:i w:val="0"/>
                <w:sz w:val="22"/>
              </w:rPr>
              <w:t>Host-homology hard filter (≥ 35% human identity)</w:t>
            </w:r>
          </w:p>
        </w:tc>
        <w:tc>
          <w:tcPr>
            <w:tcW w:type="dxa" w:w="2160"/>
          </w:tcPr>
          <w:p>
            <w:pPr>
              <w:spacing w:line="240" w:lineRule="auto"/>
              <w:jc w:val="left"/>
            </w:pPr>
            <w:r/>
            <w:r>
              <w:rPr>
                <w:b w:val="0"/>
                <w:i w:val="0"/>
                <w:sz w:val="22"/>
              </w:rPr>
              <w:t>6</w:t>
            </w:r>
          </w:p>
        </w:tc>
        <w:tc>
          <w:tcPr>
            <w:tcW w:type="dxa" w:w="2160"/>
          </w:tcPr>
          <w:p>
            <w:pPr>
              <w:spacing w:line="240" w:lineRule="auto"/>
              <w:jc w:val="left"/>
            </w:pPr>
            <w:r/>
            <w:r>
              <w:rPr>
                <w:b w:val="0"/>
                <w:i w:val="0"/>
                <w:sz w:val="22"/>
              </w:rPr>
              <w:t>6PGD (S. suis), GroEL/HtpB (C. burnetii), enolase, GAPDH, Mip, DnaJ</w:t>
            </w:r>
          </w:p>
        </w:tc>
        <w:tc>
          <w:tcPr>
            <w:tcW w:type="dxa" w:w="2160"/>
          </w:tcPr>
          <w:p>
            <w:pPr>
              <w:spacing w:line="240" w:lineRule="auto"/>
              <w:jc w:val="left"/>
            </w:pPr>
            <w:r/>
            <w:r>
              <w:rPr>
                <w:b w:val="0"/>
                <w:i w:val="0"/>
                <w:sz w:val="22"/>
              </w:rPr>
              <w:t>Deliberate safety exclusion; absolute one-way association (0/37 recovered antigens carry a human hit; p = 3.8 × 10⁻⁵)</w:t>
            </w:r>
          </w:p>
        </w:tc>
      </w:tr>
      <w:tr>
        <w:tc>
          <w:tcPr>
            <w:tcW w:type="dxa" w:w="2160"/>
          </w:tcPr>
          <w:p>
            <w:pPr>
              <w:spacing w:line="240" w:lineRule="auto"/>
              <w:jc w:val="left"/>
            </w:pPr>
            <w:r/>
            <w:r>
              <w:rPr>
                <w:b w:val="0"/>
                <w:i w:val="0"/>
                <w:sz w:val="22"/>
              </w:rPr>
              <w:t>Localisation list, Gram-positive `membrane` gap</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CapB (B. anthracis), ActA (L. monocytogenes)</w:t>
            </w:r>
          </w:p>
        </w:tc>
        <w:tc>
          <w:tcPr>
            <w:tcW w:type="dxa" w:w="2160"/>
          </w:tcPr>
          <w:p>
            <w:pPr>
              <w:spacing w:line="240" w:lineRule="auto"/>
              <w:jc w:val="left"/>
            </w:pPr>
            <w:r/>
            <w:r>
              <w:rPr>
                <w:b w:val="0"/>
                <w:i w:val="0"/>
                <w:sz w:val="22"/>
              </w:rPr>
              <w:t>Configuration inconsistency, correctable</w:t>
            </w:r>
          </w:p>
        </w:tc>
      </w:tr>
      <w:tr>
        <w:tc>
          <w:tcPr>
            <w:tcW w:type="dxa" w:w="2160"/>
          </w:tcPr>
          <w:p>
            <w:pPr>
              <w:spacing w:line="240" w:lineRule="auto"/>
              <w:jc w:val="left"/>
            </w:pPr>
            <w:r/>
            <w:r>
              <w:rPr>
                <w:b w:val="0"/>
                <w:i w:val="0"/>
                <w:sz w:val="22"/>
              </w:rPr>
              <w:t>Limit of sequence-based localisation prediction</w:t>
            </w:r>
          </w:p>
        </w:tc>
        <w:tc>
          <w:tcPr>
            <w:tcW w:type="dxa" w:w="2160"/>
          </w:tcPr>
          <w:p>
            <w:pPr>
              <w:spacing w:line="240" w:lineRule="auto"/>
              <w:jc w:val="left"/>
            </w:pPr>
            <w:r/>
            <w:r>
              <w:rPr>
                <w:b w:val="0"/>
                <w:i w:val="0"/>
                <w:sz w:val="22"/>
              </w:rPr>
              <w:t>1</w:t>
            </w:r>
          </w:p>
        </w:tc>
        <w:tc>
          <w:tcPr>
            <w:tcW w:type="dxa" w:w="2160"/>
          </w:tcPr>
          <w:p>
            <w:pPr>
              <w:spacing w:line="240" w:lineRule="auto"/>
              <w:jc w:val="left"/>
            </w:pPr>
            <w:r/>
            <w:r>
              <w:rPr>
                <w:b w:val="0"/>
                <w:i w:val="0"/>
                <w:sz w:val="22"/>
              </w:rPr>
              <w:t>LigA (L. interrogans)</w:t>
            </w:r>
          </w:p>
        </w:tc>
        <w:tc>
          <w:tcPr>
            <w:tcW w:type="dxa" w:w="2160"/>
          </w:tcPr>
          <w:p>
            <w:pPr>
              <w:spacing w:line="240" w:lineRule="auto"/>
              <w:jc w:val="left"/>
            </w:pPr>
            <w:r/>
            <w:r>
              <w:rPr>
                <w:b w:val="0"/>
                <w:i w:val="0"/>
                <w:sz w:val="22"/>
              </w:rPr>
              <w:t>Not specific to PSORTb: DeepLocPro 1.0 also calls it cytoplasmic at 0.995 confidence (8/8 top-call agreement across the eight antigens tested)</w:t>
            </w:r>
          </w:p>
        </w:tc>
      </w:tr>
      <w:tr>
        <w:tc>
          <w:tcPr>
            <w:tcW w:type="dxa" w:w="2160"/>
          </w:tcPr>
          <w:p>
            <w:pPr>
              <w:spacing w:line="240" w:lineRule="auto"/>
              <w:jc w:val="left"/>
            </w:pPr>
            <w:r/>
            <w:r>
              <w:rPr>
                <w:b w:val="0"/>
                <w:i w:val="0"/>
                <w:sz w:val="22"/>
              </w:rPr>
              <w:t>Epitope prediction stage</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ESAT-6 (M. bovis), L7/L12 (Brucella)</w:t>
            </w:r>
          </w:p>
        </w:tc>
        <w:tc>
          <w:tcPr>
            <w:tcW w:type="dxa" w:w="2160"/>
          </w:tcPr>
          <w:p>
            <w:pPr>
              <w:spacing w:line="240" w:lineRule="auto"/>
              <w:jc w:val="left"/>
            </w:pPr>
            <w:r/>
            <w:r>
              <w:rPr>
                <w:b w:val="0"/>
                <w:i w:val="0"/>
                <w:sz w:val="22"/>
              </w:rPr>
              <w:t>Prediction-level miss; toxicity hypothesis tested and rejected</w:t>
            </w:r>
          </w:p>
        </w:tc>
      </w:tr>
    </w:tbl>
    <w:p/>
    <w:p>
      <w:r>
        <w:rPr>
          <w:b/>
          <w:i w:val="0"/>
          <w:sz w:val="24"/>
        </w:rPr>
        <w:t>Most of the benchmark's ground truth is in the comparator's training set, and the comparator's advantage is concentrated there.</w:t>
      </w:r>
      <w:r>
        <w:rPr>
          <w:b w:val="0"/>
          <w:i w:val="0"/>
          <w:sz w:val="24"/>
        </w:rPr>
        <w:t xml:space="preserve"> Vaxign-ML is a supervised classifier, and the model distributed in its container is trained on the whole of Protegen: 397 bacterial protective antigens after homologue removal, taken from Protegen as of 31 July 2019 across 50 Gram-positive and Gram-negative pathogens, against negatives drawn from the same 50 proteomes at under 30% similarity to those antigens (Ong et al., 2020). Our ground truth is assembled the same way any such set must be, from experimentally supported protective antigens in the literature, so the two sets can overlap by construction. Leaving that overlap unmeasured would make the recall comparison uninterpretable in both directions, so we quantified it: we downloaded Protegen v4.0 and aligned all 44 ground-truth antigens of the nine-bacterium benchmark against it with DIAMOND (Methods). Twenty-six of the 44, 59%, are at least 90% identical to a Protegen record and are therefore the comparator's own training labels; a further eleven fall between 30 and 90%, above the similarity cutoff Vaxign-ML itself used to define negatives, so they too carry information from training. Only seven of the 44, 16%, are independent of it.</w:t>
      </w:r>
    </w:p>
    <w:p>
      <w:r>
        <w:rPr>
          <w:b w:val="0"/>
          <w:i w:val="0"/>
          <w:sz w:val="24"/>
        </w:rPr>
        <w:t>Recall cannot separate these classes, because Vaxign-ML scores every protein in a proteome and so recovers every antigen in all three classes; rank is the informative statistic. Stratified by overlap class, the comparator's median rank degrades monotonically as the antigen moves away from its training set, from 70 on antigens that are training labels to 127 on homologues and 214 on independent antigens, and it places none of the seven independent antigens in its top twenty. VaxForge, which has no training set, shows the same ordering far more weakly, 24, 12 and 61, and places three of the seven independent antigens in its top twenty (Table 5). The 43-of-44 against 33-of-44 recall difference in Table 3 is therefore not a like-for-like measure of generalisation: on the subset of antigens that neither tool could have memorised, the ranking advantage reverses. We report this as a property of the benchmark rather than a fault of either tool, since any supervised reverse-vaccinology model will share it and no published benchmark of this kind can avoid the overlap entirely; what it can do is measure it.</w:t>
      </w:r>
    </w:p>
    <w:p>
      <w:r>
        <w:rPr>
          <w:b/>
          <w:i w:val="0"/>
          <w:sz w:val="24"/>
        </w:rPr>
        <w:t>Table 5.</w:t>
      </w:r>
      <w:r>
        <w:rPr>
          <w:b w:val="0"/>
          <w:i w:val="0"/>
          <w:sz w:val="24"/>
        </w:rPr>
        <w:t xml:space="preserve"> Overlap between the nine-bacterium ground truth and Protegen, the training source of Vaxign-ML, with ranking performance stratified by overlap class. Identity is the best DIAMOND alignment of each ground-truth antigen against Protegen v4.0; "training label" means at least 90% identity, "homologue" 30 to 90%, which is above the under-30% cutoff used to select Vaxign-ML's negatives, and "independent" under 30%. Median rank is over the antigens each tool recovered. Per-antigen values are in `results/vaxignml_circularity.json`.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Overlap class</w:t>
            </w:r>
          </w:p>
        </w:tc>
        <w:tc>
          <w:tcPr>
            <w:tcW w:type="dxa" w:w="1440"/>
          </w:tcPr>
          <w:p>
            <w:pPr>
              <w:spacing w:line="240" w:lineRule="auto"/>
              <w:jc w:val="left"/>
            </w:pPr>
            <w:r/>
            <w:r>
              <w:rPr>
                <w:b/>
                <w:i w:val="0"/>
                <w:sz w:val="22"/>
              </w:rPr>
              <w:t>n</w:t>
            </w:r>
          </w:p>
        </w:tc>
        <w:tc>
          <w:tcPr>
            <w:tcW w:type="dxa" w:w="1440"/>
          </w:tcPr>
          <w:p>
            <w:pPr>
              <w:spacing w:line="240" w:lineRule="auto"/>
              <w:jc w:val="left"/>
            </w:pPr>
            <w:r/>
            <w:r>
              <w:rPr>
                <w:b/>
                <w:i w:val="0"/>
                <w:sz w:val="22"/>
              </w:rPr>
              <w:t>Vaxign-ML median rank</w:t>
            </w:r>
          </w:p>
        </w:tc>
        <w:tc>
          <w:tcPr>
            <w:tcW w:type="dxa" w:w="1440"/>
          </w:tcPr>
          <w:p>
            <w:pPr>
              <w:spacing w:line="240" w:lineRule="auto"/>
              <w:jc w:val="left"/>
            </w:pPr>
            <w:r/>
            <w:r>
              <w:rPr>
                <w:b/>
                <w:i w:val="0"/>
                <w:sz w:val="22"/>
              </w:rPr>
              <w:t>VaxForge median rank</w:t>
            </w:r>
          </w:p>
        </w:tc>
        <w:tc>
          <w:tcPr>
            <w:tcW w:type="dxa" w:w="1440"/>
          </w:tcPr>
          <w:p>
            <w:pPr>
              <w:spacing w:line="240" w:lineRule="auto"/>
              <w:jc w:val="left"/>
            </w:pPr>
            <w:r/>
            <w:r>
              <w:rPr>
                <w:b/>
                <w:i w:val="0"/>
                <w:sz w:val="22"/>
              </w:rPr>
              <w:t>Vaxign-ML top 20</w:t>
            </w:r>
          </w:p>
        </w:tc>
        <w:tc>
          <w:tcPr>
            <w:tcW w:type="dxa" w:w="1440"/>
          </w:tcPr>
          <w:p>
            <w:pPr>
              <w:spacing w:line="240" w:lineRule="auto"/>
              <w:jc w:val="left"/>
            </w:pPr>
            <w:r/>
            <w:r>
              <w:rPr>
                <w:b/>
                <w:i w:val="0"/>
                <w:sz w:val="22"/>
              </w:rPr>
              <w:t>VaxForge top 20</w:t>
            </w:r>
          </w:p>
        </w:tc>
      </w:tr>
      <w:tr>
        <w:tc>
          <w:tcPr>
            <w:tcW w:type="dxa" w:w="1440"/>
          </w:tcPr>
          <w:p>
            <w:pPr>
              <w:spacing w:line="240" w:lineRule="auto"/>
              <w:jc w:val="left"/>
            </w:pPr>
            <w:r/>
            <w:r>
              <w:rPr>
                <w:b w:val="0"/>
                <w:i w:val="0"/>
                <w:sz w:val="22"/>
              </w:rPr>
              <w:t>Training label (≥ 90% identity)</w:t>
            </w:r>
          </w:p>
        </w:tc>
        <w:tc>
          <w:tcPr>
            <w:tcW w:type="dxa" w:w="1440"/>
          </w:tcPr>
          <w:p>
            <w:pPr>
              <w:spacing w:line="240" w:lineRule="auto"/>
              <w:jc w:val="left"/>
            </w:pPr>
            <w:r/>
            <w:r>
              <w:rPr>
                <w:b w:val="0"/>
                <w:i w:val="0"/>
                <w:sz w:val="22"/>
              </w:rPr>
              <w:t>26</w:t>
            </w:r>
          </w:p>
        </w:tc>
        <w:tc>
          <w:tcPr>
            <w:tcW w:type="dxa" w:w="1440"/>
          </w:tcPr>
          <w:p>
            <w:pPr>
              <w:spacing w:line="240" w:lineRule="auto"/>
              <w:jc w:val="left"/>
            </w:pPr>
            <w:r/>
            <w:r>
              <w:rPr>
                <w:b w:val="0"/>
                <w:i w:val="0"/>
                <w:sz w:val="22"/>
              </w:rPr>
              <w:t>70</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5/26</w:t>
            </w:r>
          </w:p>
        </w:tc>
        <w:tc>
          <w:tcPr>
            <w:tcW w:type="dxa" w:w="1440"/>
          </w:tcPr>
          <w:p>
            <w:pPr>
              <w:spacing w:line="240" w:lineRule="auto"/>
              <w:jc w:val="left"/>
            </w:pPr>
            <w:r/>
            <w:r>
              <w:rPr>
                <w:b w:val="0"/>
                <w:i w:val="0"/>
                <w:sz w:val="22"/>
              </w:rPr>
              <w:t>9/26</w:t>
            </w:r>
          </w:p>
        </w:tc>
      </w:tr>
      <w:tr>
        <w:tc>
          <w:tcPr>
            <w:tcW w:type="dxa" w:w="1440"/>
          </w:tcPr>
          <w:p>
            <w:pPr>
              <w:spacing w:line="240" w:lineRule="auto"/>
              <w:jc w:val="left"/>
            </w:pPr>
            <w:r/>
            <w:r>
              <w:rPr>
                <w:b w:val="0"/>
                <w:i w:val="0"/>
                <w:sz w:val="22"/>
              </w:rPr>
              <w:t>Homologue (30–90%)</w:t>
            </w:r>
          </w:p>
        </w:tc>
        <w:tc>
          <w:tcPr>
            <w:tcW w:type="dxa" w:w="1440"/>
          </w:tcPr>
          <w:p>
            <w:pPr>
              <w:spacing w:line="240" w:lineRule="auto"/>
              <w:jc w:val="left"/>
            </w:pPr>
            <w:r/>
            <w:r>
              <w:rPr>
                <w:b w:val="0"/>
                <w:i w:val="0"/>
                <w:sz w:val="22"/>
              </w:rPr>
              <w:t>11</w:t>
            </w:r>
          </w:p>
        </w:tc>
        <w:tc>
          <w:tcPr>
            <w:tcW w:type="dxa" w:w="1440"/>
          </w:tcPr>
          <w:p>
            <w:pPr>
              <w:spacing w:line="240" w:lineRule="auto"/>
              <w:jc w:val="left"/>
            </w:pPr>
            <w:r/>
            <w:r>
              <w:rPr>
                <w:b w:val="0"/>
                <w:i w:val="0"/>
                <w:sz w:val="22"/>
              </w:rPr>
              <w:t>127</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1/11</w:t>
            </w:r>
          </w:p>
        </w:tc>
        <w:tc>
          <w:tcPr>
            <w:tcW w:type="dxa" w:w="1440"/>
          </w:tcPr>
          <w:p>
            <w:pPr>
              <w:spacing w:line="240" w:lineRule="auto"/>
              <w:jc w:val="left"/>
            </w:pPr>
            <w:r/>
            <w:r>
              <w:rPr>
                <w:b w:val="0"/>
                <w:i w:val="0"/>
                <w:sz w:val="22"/>
              </w:rPr>
              <w:t>4/11</w:t>
            </w:r>
          </w:p>
        </w:tc>
      </w:tr>
      <w:tr>
        <w:tc>
          <w:tcPr>
            <w:tcW w:type="dxa" w:w="1440"/>
          </w:tcPr>
          <w:p>
            <w:pPr>
              <w:spacing w:line="240" w:lineRule="auto"/>
              <w:jc w:val="left"/>
            </w:pPr>
            <w:r/>
            <w:r>
              <w:rPr>
                <w:b w:val="0"/>
                <w:i w:val="0"/>
                <w:sz w:val="22"/>
              </w:rPr>
              <w:t>Independent (&lt; 30%)</w:t>
            </w:r>
          </w:p>
        </w:tc>
        <w:tc>
          <w:tcPr>
            <w:tcW w:type="dxa" w:w="1440"/>
          </w:tcPr>
          <w:p>
            <w:pPr>
              <w:spacing w:line="240" w:lineRule="auto"/>
              <w:jc w:val="left"/>
            </w:pPr>
            <w:r/>
            <w:r>
              <w:rPr>
                <w:b w:val="0"/>
                <w:i w:val="0"/>
                <w:sz w:val="22"/>
              </w:rPr>
              <w:t>7</w:t>
            </w:r>
          </w:p>
        </w:tc>
        <w:tc>
          <w:tcPr>
            <w:tcW w:type="dxa" w:w="1440"/>
          </w:tcPr>
          <w:p>
            <w:pPr>
              <w:spacing w:line="240" w:lineRule="auto"/>
              <w:jc w:val="left"/>
            </w:pPr>
            <w:r/>
            <w:r>
              <w:rPr>
                <w:b w:val="0"/>
                <w:i w:val="0"/>
                <w:sz w:val="22"/>
              </w:rPr>
              <w:t>214</w:t>
            </w:r>
          </w:p>
        </w:tc>
        <w:tc>
          <w:tcPr>
            <w:tcW w:type="dxa" w:w="1440"/>
          </w:tcPr>
          <w:p>
            <w:pPr>
              <w:spacing w:line="240" w:lineRule="auto"/>
              <w:jc w:val="left"/>
            </w:pPr>
            <w:r/>
            <w:r>
              <w:rPr>
                <w:b w:val="0"/>
                <w:i w:val="0"/>
                <w:sz w:val="22"/>
              </w:rPr>
              <w:t>61</w:t>
            </w:r>
          </w:p>
        </w:tc>
        <w:tc>
          <w:tcPr>
            <w:tcW w:type="dxa" w:w="1440"/>
          </w:tcPr>
          <w:p>
            <w:pPr>
              <w:spacing w:line="240" w:lineRule="auto"/>
              <w:jc w:val="left"/>
            </w:pPr>
            <w:r/>
            <w:r>
              <w:rPr>
                <w:b w:val="0"/>
                <w:i w:val="0"/>
                <w:sz w:val="22"/>
              </w:rPr>
              <w:t>0/7</w:t>
            </w:r>
          </w:p>
        </w:tc>
        <w:tc>
          <w:tcPr>
            <w:tcW w:type="dxa" w:w="1440"/>
          </w:tcPr>
          <w:p>
            <w:pPr>
              <w:spacing w:line="240" w:lineRule="auto"/>
              <w:jc w:val="left"/>
            </w:pPr>
            <w:r/>
            <w:r>
              <w:rPr>
                <w:b w:val="0"/>
                <w:i w:val="0"/>
                <w:sz w:val="22"/>
              </w:rPr>
              <w:t>3/7</w:t>
            </w:r>
          </w:p>
        </w:tc>
      </w:tr>
    </w:tbl>
    <w:p/>
    <w:p>
      <w:r>
        <w:rPr>
          <w:b/>
          <w:i w:val="0"/>
          <w:sz w:val="24"/>
        </w:rPr>
        <w:t>VaxForge returns the same antigens on a virulent reference and three licensed vaccine strains.</w:t>
      </w:r>
      <w:r>
        <w:rPr>
          <w:b w:val="0"/>
          <w:i w:val="0"/>
          <w:sz w:val="24"/>
        </w:rPr>
        <w:t xml:space="preserve"> Reverse vaccinology is ultimately judged on the genomes that deployed vaccines are built from, so we applied VaxForge at full proteome scale to three licensed live-attenuated brucellosis vaccine strains and set the result beside the virulent reference </w:t>
      </w:r>
      <w:r>
        <w:rPr>
          <w:b w:val="0"/>
          <w:i/>
          <w:sz w:val="24"/>
        </w:rPr>
        <w:t>B. suis</w:t>
      </w:r>
      <w:r>
        <w:rPr>
          <w:b w:val="0"/>
          <w:i w:val="0"/>
          <w:sz w:val="24"/>
        </w:rPr>
        <w:t xml:space="preserve"> 1330: the cattle vaccines </w:t>
      </w:r>
      <w:r>
        <w:rPr>
          <w:b w:val="0"/>
          <w:i/>
          <w:sz w:val="24"/>
        </w:rPr>
        <w:t>B. abortus</w:t>
      </w:r>
      <w:r>
        <w:rPr>
          <w:b w:val="0"/>
          <w:i w:val="0"/>
          <w:sz w:val="24"/>
        </w:rPr>
        <w:t xml:space="preserve"> S19 and RB51 and the small-ruminant vaccine </w:t>
      </w:r>
      <w:r>
        <w:rPr>
          <w:b w:val="0"/>
          <w:i/>
          <w:sz w:val="24"/>
        </w:rPr>
        <w:t>B. suis</w:t>
      </w:r>
      <w:r>
        <w:rPr>
          <w:b w:val="0"/>
          <w:i w:val="0"/>
          <w:sz w:val="24"/>
        </w:rPr>
        <w:t xml:space="preserve"> S2, each on its own RefSeq proteome under default parameters (Table S2; Fig. S1). In every strain VaxForge recovered the outer-membrane and periplasmic protective antigens, Omp25, BP26/Omp28 and SodC throughout and Omp31 wherever the gene is present; </w:t>
      </w:r>
      <w:r>
        <w:rPr>
          <w:b w:val="0"/>
          <w:i/>
          <w:sz w:val="24"/>
        </w:rPr>
        <w:t>omp31</w:t>
      </w:r>
      <w:r>
        <w:rPr>
          <w:b w:val="0"/>
          <w:i w:val="0"/>
          <w:sz w:val="24"/>
        </w:rPr>
        <w:t xml:space="preserve"> is deleted in </w:t>
      </w:r>
      <w:r>
        <w:rPr>
          <w:b w:val="0"/>
          <w:i/>
          <w:sz w:val="24"/>
        </w:rPr>
        <w:t>B. abortus</w:t>
      </w:r>
      <w:r>
        <w:rPr>
          <w:b w:val="0"/>
          <w:i w:val="0"/>
          <w:sz w:val="24"/>
        </w:rPr>
        <w:t xml:space="preserve">, so S19 and RB51 carry four ground-truth antigens rather than five (Cloeckaert et al., 2002). In every strain the single miss was the same protein, L7/L12, lost at the epitope stage exactly as in the virulent reference. The S2 vaccine, which shares the five-antigen set of </w:t>
      </w:r>
      <w:r>
        <w:rPr>
          <w:b w:val="0"/>
          <w:i/>
          <w:sz w:val="24"/>
        </w:rPr>
        <w:t>B. suis</w:t>
      </w:r>
      <w:r>
        <w:rPr>
          <w:b w:val="0"/>
          <w:i w:val="0"/>
          <w:sz w:val="24"/>
        </w:rPr>
        <w:t xml:space="preserve"> 1330, reproduced its result closely (4 of 5; best rank 24 of 740; Fisher exact p = 0.015), and the two </w:t>
      </w:r>
      <w:r>
        <w:rPr>
          <w:b w:val="0"/>
          <w:i/>
          <w:sz w:val="24"/>
        </w:rPr>
        <w:t>B. abortus</w:t>
      </w:r>
      <w:r>
        <w:rPr>
          <w:b w:val="0"/>
          <w:i w:val="0"/>
          <w:sz w:val="24"/>
        </w:rPr>
        <w:t xml:space="preserve"> vaccines reached 3 of 4 (best ranks 87 and 89; p = 0.055). The pipeline therefore returns the same answer on a virulent strain and its attenuated derivatives, and its one consistent omission is reproducible rather than stochastic.</w:t>
      </w:r>
    </w:p>
    <w:p>
      <w:r>
        <w:rPr>
          <w:b/>
          <w:i w:val="0"/>
          <w:sz w:val="24"/>
        </w:rPr>
        <w:t>Host choice reshapes the predicted epitope repertoire in every virus.</w:t>
      </w:r>
      <w:r>
        <w:rPr>
          <w:b w:val="0"/>
          <w:i w:val="0"/>
          <w:sz w:val="24"/>
        </w:rPr>
        <w:t xml:space="preserve"> VaxForge draws binding predictions from curated allele panels for human, mouse, bovine and pig, taken from IMGT/HLA and IPD-MHC (Table 6). For human, mouse and bovine, both classes run on real NetMHCpan and NetMHCIIpan models, including the BoLA-DRB3 class II panel for cattle; pig class I is real while its class II rests on a single validated allele. The panels are representative subsets rather than complete databases, and invalid allele names are dropped at runtime, so the reported epitopes are conservative.</w:t>
      </w:r>
    </w:p>
    <w:p>
      <w:r>
        <w:rPr>
          <w:b/>
          <w:i w:val="0"/>
          <w:sz w:val="24"/>
        </w:rPr>
        <w:t>Table 6.</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layer across ten viruses that all four hosts naturally infect, spanning seven families, with the protein carrying the protective, patented or licensed target as ground truth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placed the protective antigen within the top quartile of candidates for eight of the ten viruses, first for Getah, Rift Valley fever and Japanese encephalitis and second for rabies, vesicular stomatitis and Venezuelan equine encephalitis (Table 7; Fig. 5). Against Vaxign-ML the ranking head-to-head was balanced, with four wins each and two ties, which is the honest outcome for two general rankers on viral proteomes. The one clear weakness is reovirus σ1 at rank 9 of 11: σ1 is a fibre protein with no membrane anchor and so receives no surface-exposure credit, whereas Vaxign-ML ranked it first, which is a real limitation of anchoring the viral signal on membrane topology.</w:t>
      </w:r>
    </w:p>
    <w:p>
      <w:r>
        <w:rPr>
          <w:b w:val="0"/>
          <w:i w:val="0"/>
          <w:sz w:val="24"/>
        </w:rPr>
        <w:t>The capability that separates VaxForge from both comparators is not the ranking but the host dimension, and it held across all ten viruses. For every virus the epitope set of the ground-truth antigen differed between host species, with pairwise host Jaccard overlap below one in every case and, for several viruses, host pairs sharing no epitopes at all (Table 7; Fig. 6; the rabies glycoprotein pairwise detail is in Fig. S2). NERVE 2.0 cannot process viral proteomes, and Vaxign-ML returns a single host-free protegenicity score, ranking rabies glycoprotein G fourth of five with no host resolution, so this per-host repertoire is unique to VaxForge among the three. Because each virus contributes a single protective antigen, the rank statistic is descriptive rather than inferential, and population coverage was reported as unavailable for non-human hosts rather than imputed.</w:t>
      </w:r>
    </w:p>
    <w:p>
      <w:r>
        <w:rPr>
          <w:b/>
          <w:i w:val="0"/>
          <w:sz w:val="24"/>
        </w:rPr>
        <w:t>Table 7.</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Figure 5.</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Figure 6.</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spacing w:before="200"/>
      </w:pPr>
      <w:r>
        <w:rPr>
          <w:b/>
          <w:i w:val="0"/>
          <w:sz w:val="26"/>
        </w:rPr>
        <w:t>Discussion</w:t>
      </w:r>
    </w:p>
    <w:p>
      <w:r>
        <w:rPr>
          <w:b w:val="0"/>
          <w:i w:val="0"/>
          <w:sz w:val="24"/>
        </w:rPr>
        <w:t>Benchmarks of reverse vaccinology tools have usually reported enrichment or classifier accuracy on curated positive and negative sets (Goodswen et al., 2023). We report instead how many independently validated protective antigens each tool returns from a whole proteome, and then, for the tool we built, where each missing antigen was lost. The second step is what turns a recall number into a usable statement. VaxForge recovered 37 of 48 antigens against 47 of 48 for Vaxign-ML, and on the headline number alone a reader would conclude that a 2020 descriptor-based classifier outperforms the pipeline. The attribution shows that six of the eleven misses were removed by a safety filter that Vaxign-ML does not apply at all, one by an upstream localisation error, two by a correctable configuration gap and two at the MHC scoring threshold. What remains after accounting for the deliberate exclusions is a far smaller difference in discrimination than the raw totals imply, and the direction of the host-homology association, no human homologue in any of the 37 recovered antigens, indicates a filter that is partitioning the ground-truth set on a biological axis rather than failing at random.</w:t>
      </w:r>
    </w:p>
    <w:p>
      <w:r>
        <w:rPr>
          <w:b w:val="0"/>
          <w:i w:val="0"/>
          <w:sz w:val="24"/>
        </w:rPr>
        <w:t xml:space="preserve">That filter is the central design choice of the pipeline and we defend it rather than apologise for it. All six antigens it removed are conserved housekeeping proteins, chaperones, glycolytic enzymes and an isomerase, whose protective activity in the literature is real but which necessarily carry human orthologues. Bacterial HSP60 cross-reacting with its human counterpart is an established route to autoimmune pathology (Matsuura et al., 2009), and shared peptides between pathogen and human heat shock proteins fall inside experimentally validated immunoreactive epitopes (Lucchese &amp; Flöel, 2020), so excluding this class by default is a defensible prior for a pipeline intended to produce a candidate immunogen rather than a ranked list. Three honest qualifications follow. The 35% identity cut-off is a parameter choice, not a universal threshold. Sequence homology is not pathology, and we do not claim these six antigens would in fact cause autoimmunity, only that a cautious pipeline declines them. And the exclusion is a liability wherever a moonlighting antigen is the intended target, as in </w:t>
      </w:r>
      <w:r>
        <w:rPr>
          <w:b w:val="0"/>
          <w:i/>
          <w:sz w:val="24"/>
        </w:rPr>
        <w:t>S. suis</w:t>
      </w:r>
      <w:r>
        <w:rPr>
          <w:b w:val="0"/>
          <w:i w:val="0"/>
          <w:sz w:val="24"/>
        </w:rPr>
        <w:t>, where four of five ground-truth antigens are of this class and VaxForge consequently recovered one; a user pursuing such a target should relax the filter, and the pipeline exposes it as a single configuration value for exactly that reason.</w:t>
      </w:r>
    </w:p>
    <w:p>
      <w:r>
        <w:rPr>
          <w:b w:val="0"/>
          <w:i w:val="0"/>
          <w:sz w:val="24"/>
        </w:rPr>
        <w:t>Our enrichment finding converges with the comparator literature from the opposite direction. NERVE 2.0 reports fold enrichment near 16.6 for its best configuration and found Vaxign-ML to perform poorly on that metric, at 1.58 (Conte et al., 2024). We observed the mirror image on validated antigens: NERVE 2.0 reached fold enrichments of 25 to 274 while returning no protective antigen at all for four of nine species, and Vaxign-ML had the lowest enrichment and the highest recall. Both studies are measuring the same trade-off from different ends, which argues that neither metric should be reported alone. The point is sharpened by a design detail of the NERVE 2.0 benchmark: its ground-truth set deliberately excluded antigens annotated as cytosolic or of unknown localisation (Conte et al., 2024). Our set does not, so it contains precisely the moonlighting and conserved-housekeeping antigens that localisation-gated and homology-gated funnels lose, and our recall figures are correspondingly conservative relative to benchmarks built that way.</w:t>
      </w:r>
    </w:p>
    <w:p>
      <w:r>
        <w:rPr>
          <w:b w:val="0"/>
          <w:i w:val="0"/>
          <w:sz w:val="24"/>
        </w:rPr>
        <w:t>The comparison also needs placing against the current generation of antigen classifiers, which has moved from curated descriptors to learned representations. Vaxign-DL adds protein language model features to the Vaxign line (Chen et al., 2024), a descriptor-free ESM-2 pipeline outperformed descriptor-based classification on 9 of 10 bacterial species (Podda et al., 2025), and PLGDL combines sequence embeddings with geometric deep learning over predicted structures and confirmed a previously uncharacterised orthopoxvirus antigen in vivo (Zai et al., 2025). We did not benchmark against these, and the honest reason is that they answer a different question. Each returns a protegenicity score per protein; none returns host-specific epitopes, a construct or an immunisation readout, and PLGDL additionally requires predicted structures and substantial compute. VaxForge is not competing on classification accuracy, where a modern language model will plausibly beat its funnel, and a productive combination is visible: a learned classifier is the natural replacement for the scoring stage of the funnel, feeding the host-resolved immunological layer that the classifiers themselves do not provide. Treating the two as alternatives rather than as stages is, in our view, what has kept the field's attention on the ranking step.</w:t>
      </w:r>
    </w:p>
    <w:p>
      <w:r>
        <w:rPr>
          <w:b w:val="0"/>
          <w:i w:val="0"/>
          <w:sz w:val="24"/>
        </w:rPr>
        <w:t>The host dimension is the contribution we consider least substitutable. NetMHCpan and NetMHCIIpan already support many non-human alleles (Reynisson et al., 2020), yet reverse vaccinology pipelines apply them against a single human reference, and NERVE 2.0's epitope module is explicitly built on human HLA supertypes (Conte et al., 2024). Because all ten viruses infect the four hosts examined (Cox et al., 1977; Fooks et al., 2017), we could compute a per-host repertoire for each, and the epitope sets of the ground-truth antigens differed between species in every case, with some host pairs sharing nothing. For the veterinary and zoonotic targets that carry much of the practical vaccine burden (Fooks et al., 2017; Hampson et al., 2015), a human-only epitope layer does not merely lose precision, it reports a repertoire for the wrong species.</w:t>
      </w:r>
    </w:p>
    <w:p>
      <w:r>
        <w:rPr>
          <w:b w:val="0"/>
          <w:i w:val="0"/>
          <w:sz w:val="24"/>
        </w:rPr>
        <w:t>The overlap analysis also bounds what any benchmark of this kind can claim. Our ground truth and Protegen are drawn from the same literature, so the 59% overlap we measured is not a flaw in either set but an unavoidable property of the field: there is only one body of experimentally validated protective antigens, and every supervised model trains on it. The consequence is that recall against such a set rewards memorisation, and a tool with no training set is structurally disadvantaged on the majority of the antigens while being measured on exactly the subset where its competitor is strongest. We therefore treat the stratified ranking in Table 5 as the comparison that carries interpretive weight and the aggregate recall in Table 3 as descriptive. The seven independent antigens are too few for inference, so the reversal we observe on them is an indication rather than a result, and establishing it would require a prospective ground-truth set curated after the comparator's training cutoff of 31 July 2019.</w:t>
      </w:r>
    </w:p>
    <w:p>
      <w:r>
        <w:rPr>
          <w:b w:val="0"/>
          <w:i w:val="0"/>
          <w:sz w:val="24"/>
        </w:rPr>
        <w:t>Several limitations bound these claims, beyond the three qualifications already given for the homology filter. The Gram-positive localisation gap is a defect, not a trade-off: the permitted-localisation list encodes Gram-negative architecture and cost two legitimate surface antigens, and correcting it requires Gram-aware lists and a full re-run of all ten species, so the recall reported here should be read as a floor. One miss follows an upstream PSORTb misassignment that we can report but not repair. Two misses occur at MHC scoring thresholds that we did not tune. The default toxicity filter can discard peptides from toxin antigens such as listeriolysin O, a conservative choice left untuned for the benchmark; most B-cell epitopes are discontinuous and a linear-epitope pipeline does not model them (Michalik et al., 2016). Area-under-curve is reported only as a secondary measure with an explicit small-sample caveat, because four to five positives per pathogen cannot resolve AUC differences. Whole-proteome VaxForge runs remain impractical on CPU-only hardware, so the meningococcal comparison used matched subsamples, fair across tools, while full proteomes were run for the faster comparators. Finally, and most importantly, nothing here is experimental validation: every result is a prediction about predictions, and the ground-truth sets themselves reflect protection observed in particular animal models and immunisation protocols.</w:t>
      </w:r>
    </w:p>
    <w:p>
      <w:r>
        <w:rPr>
          <w:b w:val="0"/>
          <w:i w:val="0"/>
          <w:sz w:val="24"/>
        </w:rPr>
        <w:t>Three directions follow directly. Correcting the Gram-aware localisation lists and re-running the panel would separate the correctable component of the recall gap from the deliberate one. Substituting a protein language model classifier for the scoring stage of the funnel would test whether the end-to-end architecture and modern discrimination are complementary, as we expect. And the cross-species divergence of the viral glycoprotein epitopes is a concrete, testable hypothesis: the predicted repertoires for cattle and human rabies glycoprotein G share two thirds of their epitopes at most, which binding and immunisation experiments could confirm or refute.</w:t>
      </w:r>
    </w:p>
    <w:p>
      <w:pPr>
        <w:spacing w:before="200"/>
      </w:pPr>
      <w:r>
        <w:rPr>
          <w:b/>
          <w:i w:val="0"/>
          <w:sz w:val="26"/>
        </w:rPr>
        <w:t>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 Protein language model classifiers (Chen et al., 2024; Podda et al., 2025; Zai et al., 2025) were not included because they return a protegenicity score only and, for the structure-based framework, require predicted structures and GPU compute; the rationale is set out in the Discussion.</w:t>
      </w:r>
    </w:p>
    <w:p>
      <w:r>
        <w:rPr>
          <w:b/>
          <w:i w:val="0"/>
          <w:sz w:val="24"/>
        </w:rPr>
        <w:t>Cross-checking the localisation calls.</w:t>
      </w:r>
      <w:r>
        <w:rPr>
          <w:b w:val="0"/>
          <w:i w:val="0"/>
          <w:sz w:val="24"/>
        </w:rPr>
        <w:t xml:space="preserve"> Because the funnel removes cytoplasmic proteins as a hard filter, the localisation predictor is the single point at which a surface-exposed antigen can be lost without recourse. PSORTb's calls on the antigens missed at or after this step were therefore repeated with DeepLocPro 1.0 (Moreno et al., 2024), a prokaryote-specific model built on ESM-2 embeddings and trained on experimentally verified PSORTdb 4.0 data, installed locally and run on CPU with the organism group supplied from the species configuration (`-g positive` or `-g negative`). Eight antigens were tested: the five </w:t>
      </w:r>
      <w:r>
        <w:rPr>
          <w:b w:val="0"/>
          <w:i/>
          <w:sz w:val="24"/>
        </w:rPr>
        <w:t>S. suis</w:t>
      </w:r>
      <w:r>
        <w:rPr>
          <w:b w:val="0"/>
          <w:i w:val="0"/>
          <w:sz w:val="24"/>
        </w:rPr>
        <w:t xml:space="preserve"> ground-truth proteins, including the recovered suilysin as a positive control, together with CapB, ActA and LigA. Labels were mapped to a common vocabulary before agreement was counted, because PSORTb's Gram-positive `membrane` call denotes the cytoplasmic membrane, Gram-positive organisms having no outer membrane. DeepLocPro is distributed under CC BY-NC-SA 4.0 and is used here as a measurement instrument rather than as a pipeline component. Per-antigen calls and probabilities are in `results/localization_agreement.json`; the analysis is reproduced by `measure_localization_agreement.py`.</w:t>
      </w:r>
    </w:p>
    <w:p>
      <w:r>
        <w:rPr>
          <w:b/>
          <w:i w:val="0"/>
          <w:sz w:val="24"/>
        </w:rPr>
        <w:t>Overlap between the ground truth and the comparator's training data.</w:t>
      </w:r>
      <w:r>
        <w:rPr>
          <w:b w:val="0"/>
          <w:i w:val="0"/>
          <w:sz w:val="24"/>
        </w:rPr>
        <w:t xml:space="preserve"> Vaxign-ML's distributed model is trained on Protegen (Ong et al., 2020), so the bacterial protective-antigen set of Protegen v4.0 was downloaded in full (`protegen-bacterium-4.0-2019-01-09.faa`, 660 records; Yang et al., 2011) and used as a proxy for that training set, which is not itself released as a file. The 44 ground-truth antigens of the nine-bacterium benchmark were extracted from the prepared proteomes by accession and aligned against Protegen with DIAMOND blastp (`--very-sensitive`, best hit per query). Each antigen was assigned to one of three classes by its best alignment identity: training label at 90% or above, homologue between 30 and 90%, and independent below 30%. The 30% boundary is not arbitrary: it is the similarity cutoff Vaxign-ML itself used to select negatives, so an antigen above it could not have been a negative in training. Ranking was then stratified by class, using each antigen's position in each tool's candidate list, with the median taken over recovered antigens only; recall is not stratified because Vaxign-ML scores every protein in a proteome and therefore recovers every antigen in all three classes, making recall uninformative for this comparison. Per-antigen values are in `results/vaxignml_circularity.json` and the per-tool ranks in `results/vaxignml_circularity_vs_recall.json`; the analysis is reproduced by `measure_vaxignml_circularity.py`.</w:t>
      </w:r>
    </w:p>
    <w:p>
      <w:r>
        <w:rPr>
          <w:b/>
          <w:i w:val="0"/>
          <w:sz w:val="24"/>
        </w:rPr>
        <w:t>Attribution of missed antigens.</w:t>
      </w:r>
      <w:r>
        <w:rPr>
          <w:b w:val="0"/>
          <w:i w:val="0"/>
          <w:sz w:val="24"/>
        </w:rPr>
        <w:t xml:space="preserve"> For each ground-truth antigen that VaxForge did not return, the pipeline's intermediate outputs were inspected to identify the first step at which it was removed, using the recorded PSORTb localisation call and score, the TMHMM helix count, and DIAMOND blastp identity against the human Swiss-Prot proteome (`tools/db/human.dmnd`, e-value 1 × 10⁻⁴). Antigens that passed all three hard filters but produced no candidate peptide were assigned to the epitope stage. Association between host-homology status and recovery was tested with the Fisher exact test on the two-by-two table of recovered against human-homologous antigens across all 48 ground-truth antigens. For the two epitope-stage misses the toxicity hypothesis was tested by comparing the fraction of flagged 9-mers in the missed antigens against a recovered control of comparable length from the same species. Per-antigen values are in `results/miss_attribution.json` and the full reasoning in `MISS_ATTRIBUTION.md`.</w:t>
      </w:r>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The miss attribution reported here was performed after these corrections and found no residual scale-dependent cause.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Supplementary material</w:t>
      </w:r>
    </w:p>
    <w:p>
      <w:r>
        <w:rPr>
          <w:b/>
          <w:i w:val="0"/>
          <w:sz w:val="24"/>
        </w:rPr>
        <w:t>Table S1.</w:t>
      </w:r>
      <w:r>
        <w:rPr>
          <w:b w:val="0"/>
          <w:i w:val="0"/>
          <w:sz w:val="24"/>
        </w:rPr>
        <w:t xml:space="preserve"> The ground-truth protective antigens, by species, with accession, licensure status and the verified evidence for protective or candidate status (full evidence and DOIs in `PROTECTIVE_ANTIGENS.md`). Status: </w:t>
      </w:r>
      <w:r>
        <w:rPr>
          <w:b w:val="0"/>
          <w:i/>
          <w:sz w:val="24"/>
        </w:rPr>
        <w:t>licensed</w:t>
      </w:r>
      <w:r>
        <w:rPr>
          <w:b w:val="0"/>
          <w:i w:val="0"/>
          <w:sz w:val="24"/>
        </w:rPr>
        <w:t xml:space="preserve"> = component of an approved human vaccine; </w:t>
      </w:r>
      <w:r>
        <w:rPr>
          <w:b w:val="0"/>
          <w:i/>
          <w:sz w:val="24"/>
        </w:rPr>
        <w:t>vet-licensed strain</w:t>
      </w:r>
      <w:r>
        <w:rPr>
          <w:b w:val="0"/>
          <w:i w:val="0"/>
          <w:sz w:val="24"/>
        </w:rPr>
        <w:t xml:space="preserve"> = genus has approved live/whole-cell veterinary vaccines while the subunit here is a candidate; </w:t>
      </w:r>
      <w:r>
        <w:rPr>
          <w:b w:val="0"/>
          <w:i/>
          <w:sz w:val="24"/>
        </w:rPr>
        <w:t>clinical/preclinical candidate</w:t>
      </w:r>
      <w:r>
        <w:rPr>
          <w:b w:val="0"/>
          <w:i w:val="0"/>
          <w:sz w:val="24"/>
        </w:rPr>
        <w:t xml:space="preserve"> = experimental protective or immunodominant antigen.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Species</w:t>
            </w:r>
          </w:p>
        </w:tc>
        <w:tc>
          <w:tcPr>
            <w:tcW w:type="dxa" w:w="1080"/>
          </w:tcPr>
          <w:p>
            <w:pPr>
              <w:spacing w:line="240" w:lineRule="auto"/>
              <w:jc w:val="left"/>
            </w:pPr>
            <w:r/>
            <w:r>
              <w:rPr>
                <w:b/>
                <w:i w:val="0"/>
                <w:sz w:val="22"/>
              </w:rPr>
              <w:t>Antigen (gene)</w:t>
            </w:r>
          </w:p>
        </w:tc>
        <w:tc>
          <w:tcPr>
            <w:tcW w:type="dxa" w:w="1080"/>
          </w:tcPr>
          <w:p>
            <w:pPr>
              <w:spacing w:line="240" w:lineRule="auto"/>
              <w:jc w:val="left"/>
            </w:pPr>
            <w:r/>
            <w:r>
              <w:rPr>
                <w:b/>
                <w:i w:val="0"/>
                <w:sz w:val="22"/>
              </w:rPr>
              <w:t>Accession</w:t>
            </w:r>
          </w:p>
        </w:tc>
        <w:tc>
          <w:tcPr>
            <w:tcW w:type="dxa" w:w="1080"/>
          </w:tcPr>
          <w:p>
            <w:pPr>
              <w:spacing w:line="240" w:lineRule="auto"/>
              <w:jc w:val="left"/>
            </w:pPr>
            <w:r/>
            <w:r>
              <w:rPr>
                <w:b/>
                <w:i w:val="0"/>
                <w:sz w:val="22"/>
              </w:rPr>
              <w:t>Status</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Evidence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Licensed,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Licensed,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Clinical candidate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Preclinical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Passive-protection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Preclinical (adoptive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(weak)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Preclinical (full protection)</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Clinical candidate (BCG-related)</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Clinical candidate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Candidate / diagnostic</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Licensed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Toxin component /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Preclinical (protective adjunct)</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Table S2.</w:t>
      </w:r>
      <w:r>
        <w:rPr>
          <w:b w:val="0"/>
          <w:i w:val="0"/>
          <w:sz w:val="24"/>
        </w:rPr>
        <w:t xml:space="preserve"> VaxForge applied to the virulent </w:t>
      </w:r>
      <w:r>
        <w:rPr>
          <w:b w:val="0"/>
          <w:i/>
          <w:sz w:val="24"/>
        </w:rPr>
        <w:t>Brucella</w:t>
      </w:r>
      <w:r>
        <w:rPr>
          <w:b w:val="0"/>
          <w:i w:val="0"/>
          <w:sz w:val="24"/>
        </w:rPr>
        <w:t xml:space="preserve"> reference and three licensed live-attenuated vaccine strains at full proteome scale (default parameters, identical pipeline). Each cell is the antigen's rank in the VaxForge candidate list; "–" marks an antigen absent from that genome (</w:t>
      </w:r>
      <w:r>
        <w:rPr>
          <w:b w:val="0"/>
          <w:i/>
          <w:sz w:val="24"/>
        </w:rPr>
        <w:t>omp31</w:t>
      </w:r>
      <w:r>
        <w:rPr>
          <w:b w:val="0"/>
          <w:i w:val="0"/>
          <w:sz w:val="24"/>
        </w:rPr>
        <w:t xml:space="preserve"> is deleted in </w:t>
      </w:r>
      <w:r>
        <w:rPr>
          <w:b w:val="0"/>
          <w:i/>
          <w:sz w:val="24"/>
        </w:rPr>
        <w:t>B. abortus</w:t>
      </w:r>
      <w:r>
        <w:rPr>
          <w:b w:val="0"/>
          <w:i w:val="0"/>
          <w:sz w:val="24"/>
        </w:rPr>
        <w:t>) and ✗ an antigen not recovered. Recall counts recovered ground-truth antigens; the Fisher exact p tests their enrichment among candidates.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Strain (status)</w:t>
            </w:r>
          </w:p>
        </w:tc>
        <w:tc>
          <w:tcPr>
            <w:tcW w:type="dxa" w:w="864"/>
          </w:tcPr>
          <w:p>
            <w:pPr>
              <w:spacing w:line="240" w:lineRule="auto"/>
              <w:jc w:val="left"/>
            </w:pPr>
            <w:r/>
            <w:r>
              <w:rPr>
                <w:b/>
                <w:i w:val="0"/>
                <w:sz w:val="22"/>
              </w:rPr>
              <w:t>Species</w:t>
            </w:r>
          </w:p>
        </w:tc>
        <w:tc>
          <w:tcPr>
            <w:tcW w:type="dxa" w:w="864"/>
          </w:tcPr>
          <w:p>
            <w:pPr>
              <w:spacing w:line="240" w:lineRule="auto"/>
              <w:jc w:val="left"/>
            </w:pPr>
            <w:r/>
            <w:r>
              <w:rPr>
                <w:b/>
                <w:i w:val="0"/>
                <w:sz w:val="22"/>
              </w:rPr>
              <w:t>Proteins</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(virulent reference)</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(licensed, small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7" name="Picture 7"/>
            <wp:cNvGraphicFramePr>
              <a:graphicFrameLocks noChangeAspect="1"/>
            </wp:cNvGraphicFramePr>
            <a:graphic>
              <a:graphicData uri="http://schemas.openxmlformats.org/drawingml/2006/picture">
                <pic:pic>
                  <pic:nvPicPr>
                    <pic:cNvPr id="0" name="figS1_brucella_vaccine.png"/>
                    <pic:cNvPicPr/>
                  </pic:nvPicPr>
                  <pic:blipFill>
                    <a:blip r:embed="rId15"/>
                    <a:stretch>
                      <a:fillRect/>
                    </a:stretch>
                  </pic:blipFill>
                  <pic:spPr>
                    <a:xfrm>
                      <a:off x="0" y="0"/>
                      <a:ext cx="5669280" cy="3042053"/>
                    </a:xfrm>
                    <a:prstGeom prst="rect"/>
                  </pic:spPr>
                </pic:pic>
              </a:graphicData>
            </a:graphic>
          </wp:inline>
        </w:drawing>
      </w:r>
    </w:p>
    <w:p>
      <w:r>
        <w:rPr>
          <w:b/>
          <w:i w:val="0"/>
          <w:sz w:val="24"/>
        </w:rPr>
        <w:t>Figure S1.</w:t>
      </w:r>
      <w:r>
        <w:rPr>
          <w:b w:val="0"/>
          <w:i w:val="0"/>
          <w:sz w:val="24"/>
        </w:rPr>
        <w:t xml:space="preserve"> VaxForge gives a consistent answer on the virulent </w:t>
      </w:r>
      <w:r>
        <w:rPr>
          <w:b w:val="0"/>
          <w:i/>
          <w:sz w:val="24"/>
        </w:rPr>
        <w:t>Brucella</w:t>
      </w:r>
      <w:r>
        <w:rPr>
          <w:b w:val="0"/>
          <w:i w:val="0"/>
          <w:sz w:val="24"/>
        </w:rPr>
        <w:t xml:space="preserve"> reference and three licensed live-attenuated vaccine strains. Each row is one protective antigen and each point is one strain's rank for that antigen in the VaxForge candidate list, so a point further left is a better rank; the candidate-list size n for each strain is in the legend. A cross in the "not recovered" column marks an antigen the strain did not return. The outer-membrane and periplasmic antigens, Omp25, Omp31, BP26/Omp28 and SodC, are recovered in every strain that carries them; Omp31 is absent from the two </w:t>
      </w:r>
      <w:r>
        <w:rPr>
          <w:b w:val="0"/>
          <w:i/>
          <w:sz w:val="24"/>
        </w:rPr>
        <w:t>B. abortus</w:t>
      </w:r>
      <w:r>
        <w:rPr>
          <w:b w:val="0"/>
          <w:i w:val="0"/>
          <w:sz w:val="24"/>
        </w:rPr>
        <w:t xml:space="preserve"> vaccines because the gene is deleted in that species (Cloeckaert et al., 2002); and the ribosomal antigen L7/L12 is lost at the epitope-prediction stage in all four strains, the same reproducible call seen in the virulent reference.</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Figure S2.</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Chen, Y., Zhang, Y., &amp; He, Y. (2024). Enhancing Vaxign-DL for vaccine candidate prediction with added ESM-generated features. </w:t>
      </w:r>
      <w:r>
        <w:rPr>
          <w:b w:val="0"/>
          <w:i/>
          <w:sz w:val="24"/>
        </w:rPr>
        <w:t>bioRxiv</w:t>
      </w:r>
      <w:r>
        <w:rPr>
          <w:b w:val="0"/>
          <w:i w:val="0"/>
          <w:sz w:val="24"/>
        </w:rPr>
        <w:t xml:space="preserve"> [Preprint]. https://doi.org/10.1101/2024.09.04.611295</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Lucchese, G., &amp; Flöel, A. (2020). SARS-CoV-2 and Guillain-Barré syndrome: molecular mimicry with human heat shock proteins as potential pathogenic mechanism. </w:t>
      </w:r>
      <w:r>
        <w:rPr>
          <w:b w:val="0"/>
          <w:i/>
          <w:sz w:val="24"/>
        </w:rPr>
        <w:t>Cell Stress and Chaperones, 25</w:t>
      </w:r>
      <w:r>
        <w:rPr>
          <w:b w:val="0"/>
          <w:i w:val="0"/>
          <w:sz w:val="24"/>
        </w:rPr>
        <w:t>(5), 731–735. https://doi.org/10.1007/s12192-020-01145-6</w:t>
      </w:r>
    </w:p>
    <w:p>
      <w:r>
        <w:rPr>
          <w:b w:val="0"/>
          <w:i w:val="0"/>
          <w:sz w:val="24"/>
        </w:rPr>
        <w:t xml:space="preserve">Matsuura, E., Kobayashi, K., Matsunami, Y., Shen, L., Quan, N., Makarova, M., Suchkov, S. V., Ayada, K., Oguma, K., &amp; Lopez, L. R. (2009). Autoimmunity, infectious immunity, and atherosclerosis. </w:t>
      </w:r>
      <w:r>
        <w:rPr>
          <w:b w:val="0"/>
          <w:i/>
          <w:sz w:val="24"/>
        </w:rPr>
        <w:t>Journal of Clinical Immunology, 29</w:t>
      </w:r>
      <w:r>
        <w:rPr>
          <w:b w:val="0"/>
          <w:i w:val="0"/>
          <w:sz w:val="24"/>
        </w:rPr>
        <w:t>(6), 714–721. https://doi.org/10.1007/s10875-009-9333-5</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Moreno, J., Nielsen, H., Winther, O., &amp; Teufel, F. (2024). Predicting the subcellular location of prokaryotic proteins with DeepLocPro. </w:t>
      </w:r>
      <w:r>
        <w:rPr>
          <w:b w:val="0"/>
          <w:i/>
          <w:sz w:val="24"/>
        </w:rPr>
        <w:t>Bioinformatics, 40</w:t>
      </w:r>
      <w:r>
        <w:rPr>
          <w:b w:val="0"/>
          <w:i w:val="0"/>
          <w:sz w:val="24"/>
        </w:rPr>
        <w:t>(12), btae677. https://doi.org/10.1093/bioinformatics/btae677</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Podda, M., Savojardo, C., Martelli, P. L., Casadio, R., Sîrbu, A., Priami, C., &amp; Brozzi, A. (2025). A descriptor-free machine learning framework to improve antigen discovery for bacterial pathogens. </w:t>
      </w:r>
      <w:r>
        <w:rPr>
          <w:b w:val="0"/>
          <w:i/>
          <w:sz w:val="24"/>
        </w:rPr>
        <w:t>PLOS ONE, 20</w:t>
      </w:r>
      <w:r>
        <w:rPr>
          <w:b w:val="0"/>
          <w:i w:val="0"/>
          <w:sz w:val="24"/>
        </w:rPr>
        <w:t>(6), e0323895. https://doi.org/10.1371/journal.pone.0323895</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Yang, B., Sayers, S., Xiang, Z., &amp; He, Y. (2011). Protegen: a web-based protective antigen database and analysis system. </w:t>
      </w:r>
      <w:r>
        <w:rPr>
          <w:b w:val="0"/>
          <w:i/>
          <w:sz w:val="24"/>
        </w:rPr>
        <w:t>Nucleic Acids Research, 39</w:t>
      </w:r>
      <w:r>
        <w:rPr>
          <w:b w:val="0"/>
          <w:i w:val="0"/>
          <w:sz w:val="24"/>
        </w:rPr>
        <w:t>(Database issue), D1073–D1078. https://doi.org/10.1093/nar/gkq944</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p>
      <w:r>
        <w:rPr>
          <w:b w:val="0"/>
          <w:i w:val="0"/>
          <w:sz w:val="24"/>
        </w:rPr>
        <w:t xml:space="preserve">Zai, X., Zhao, Y., Wang, X., Leng, M., Lu, M., Yang, Y., Zhao, X., Li, R., Li, Y., Zhang, Y., Zhang, J., Li, D., Ren, H., Xu, J., &amp; Chen, W. (2025). Integrating protein language and geometric deep learning models for enhanced vaccine antigen prediction. </w:t>
      </w:r>
      <w:r>
        <w:rPr>
          <w:b w:val="0"/>
          <w:i/>
          <w:sz w:val="24"/>
        </w:rPr>
        <w:t>Nature Communications, 17</w:t>
      </w:r>
      <w:r>
        <w:rPr>
          <w:b w:val="0"/>
          <w:i w:val="0"/>
          <w:sz w:val="24"/>
        </w:rPr>
        <w:t>(1), 1033. https://doi.org/10.1038/s41467-025-67778-2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