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end-to-end reverse vaccinology with host-specific epitope resolution</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prepared 2026-09-20. Methods narrative in `MANUSCRIPT_METHODS.md`; ground-truth antigen evidence and DOIs in `PROTECTIVE_ANTIGENS.md`; accessions in `PATHOGEN_ACCESSIONS.md`.</w:t>
      </w:r>
    </w:p>
    <w:p>
      <w:pPr>
        <w:spacing w:before="200"/>
      </w:pPr>
      <w:r>
        <w:rPr>
          <w:b/>
          <w:i w:val="0"/>
          <w:sz w:val="26"/>
        </w:rPr>
        <w:t>Abstract</w:t>
      </w:r>
    </w:p>
    <w:p>
      <w:r>
        <w:rPr>
          <w:b w:val="0"/>
          <w:i w:val="0"/>
          <w:sz w:val="24"/>
        </w:rPr>
        <w:t>Reverse vaccinology tools rank candidate antigens from a genome, but most stop at the ranking step and treat the host as a single reference, which limits both their recall of validated antigens and their utility for veterinary and cross-species targets. We present VaxForge, a reverse vaccinology pipeline that carries a pathogen from candidate discovery through a soft-filter antigen funnel, host-specific class I and class II epitope prediction across four host species, and a characterised multi-epitope construct, and that ends in an in silico immunisation step. We benchmarked VaxForge against two established tools, NERVE 2.0 and Vaxign-ML, under default parameters and identical inputs. Across four bacterial proteomes with fifteen licensed or preclinical protective antigens as ground truth, VaxForge recovered 14 of 15, comparable to Vaxign-ML (15 of 15) and well ahead of NERVE 2.0 (9 of 15), while placing protective antigens at higher ranks (for example iron-regulated surface determinant B at rank 4 of 2,889 proteins). The single antigen VaxForge missed, ActA, also ranked lowest in the independent comparator and is a genuine hard case rather than an artefact. NERVE 2.0 reached higher fold enrichment but only by discarding three of the four licensed meningococcal antigens at every input scale, showing that fold enrichment alone is misleading. On a rabies model and two additional viruses, VaxForge resolved host-specific glycoprotein epitope repertoires that differed substantially between species (pairwise Jaccard overlap below one, and zero in one case), a dimension the comparators cannot address. VaxForge therefore matches the recall of a strong independent predictor while adding host resolution and an end-to-end construct that the field currently lacks.</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directly from the whole-genome sequence rather than from cultured components (Pizza et al., 2000). The approach reshaped bacterial vaccine discovery and produced the antigens behind the licensed four-component meningococcal vaccine, recombinant factor H binding protein, Neisserial adhesin A and Neisserial Heparin Binding Antigen together with a PorA-bearing outer-membrane vesicle (Giuliani et al., 2006). Two decades later the paradigm is served by mature software. NERVE 2.0 provides a current, locally installable reverse vaccinology environment (Conte et al., 2024), and Vaxign-ML applies supervised machine learning to predict bacterial protective antigens (Ong et al., 2020).</w:t>
      </w:r>
    </w:p>
    <w:p>
      <w:r>
        <w:rPr>
          <w:b w:val="0"/>
          <w:i w:val="0"/>
          <w:sz w:val="24"/>
        </w:rPr>
        <w:t>These tools share three limitations that matter in practice. First, a hard virulence or localisation filter can raise the apparent enrichment of a candidate list while silently discarding true antigens; the Neisserial Heparin Binding Antigen, for instance, is absent from curated virulence databases yet is a licensed vaccine component, so any pipeline that requires a virulence-database hit will lose it. Second, epitope-level output is usually computed against a single human reference, which leaves the many veterinary and zoonotic targets, where cattle, pigs or mice are the relevant hosts, without an honest presentation model. Third, most tools deliver a ranked protein list and stop there, so the downstream steps that turn an antigen into an immunogen, epitope selection, construct assembly and a first immunological check, remain manual.</w:t>
      </w:r>
    </w:p>
    <w:p>
      <w:r>
        <w:rPr>
          <w:b w:val="0"/>
          <w:i w:val="0"/>
          <w:sz w:val="24"/>
        </w:rPr>
        <w:t>VaxForge was built to close these three gaps within one deterministic pipeline. It replaces the hard virulence filter with a soft, weighted one, so that a genuine surface antigen with no virulence-database annotation can still pass. It predicts class I and class II binding for a user-selected host drawn from human, mouse, bovine and porcine allele panels, so that the epitope repertoire reflects the intended species. And it continues past ranking into a multi-epitope construct and an in silico immunisation readout, giving an end-to-end path from proteome to candidate immunogen. Here we quantify the first two contributions against NERVE 2.0 and Vaxign-ML on four bacteria and three viruses, and we report a pipeline validation that surfaced and fixed two scale-dependent defects during the work.</w:t>
      </w:r>
    </w:p>
    <w:p>
      <w:pPr>
        <w:spacing w:before="200"/>
      </w:pPr>
      <w:r>
        <w:rPr>
          <w:b/>
          <w:i w:val="0"/>
          <w:sz w:val="26"/>
        </w:rPr>
        <w:t>Materials and methods</w:t>
      </w:r>
    </w:p>
    <w:p>
      <w:r>
        <w:rPr>
          <w:b/>
          <w:i w:val="0"/>
          <w:sz w:val="24"/>
        </w:rPr>
        <w:t>Candidate discovery and antigen funnel.</w:t>
      </w:r>
      <w:r>
        <w:rPr>
          <w:b w:val="0"/>
          <w:i w:val="0"/>
          <w:sz w:val="24"/>
        </w:rPr>
        <w:t xml:space="preserve"> VaxForge is deterministic and reads every cutoff from a single configuration file, so that no threshold is hard-coded (`config/thresholds.yaml`); input type, whether a proteome, coding sequences or a genome, was detected automatically. Proteins were aligned to the curated virulence factor database VFDB (Liu et al., 2022) with DIAMOND blastp (Buchfink et al., 2021) at an e-value of at most 1 × 10⁻⁵, sequence identity of at least 30% and coverage of at least 50%; this evidence contributed to the candidacy score and was not used as a gate. Subcellular localisation was predicted with PSORTb 3.0 (Yu et al., 2010), with DeepLoc 2.0 (Thumuluri et al., 2022) as a fallback, retaining extracellular, outer-membrane, cell-wall and periplasmic proteins and removing cytoplasmic ones (hard filter). Transmembrane topology was predicted with TMHMM-2.0 (Krogh et al., 2001) and proteins with more than one helix were removed (hard filter). Human homology was assessed with DIAMOND blastp against the human proteome and proteins above 35% identity were excluded for autoimmune safety (hard filter). Signal peptides (SignalP-5.0; Almagro Armenteros et al., 2019, probability ≥ 0.5), antigenicity (IApred; Miles et al., 2025), cross-strain conservation (≥ 80% when multiple strains were supplied) and adhesin probability (≥ 0.51) entered as soft, score-weighted terms. Surviving proteins were ranked by a weighted candidacy score.</w:t>
      </w:r>
    </w:p>
    <w:p>
      <w:r>
        <w:rPr>
          <w:b/>
          <w:i w:val="0"/>
          <w:sz w:val="24"/>
        </w:rPr>
        <w:t>Host-specific epitope prediction.</w:t>
      </w:r>
      <w:r>
        <w:rPr>
          <w:b w:val="0"/>
          <w:i w:val="0"/>
          <w:sz w:val="24"/>
        </w:rPr>
        <w:t xml:space="preserve"> For the selected host, class I binding was predicted with NetMHCpan-4.1 (Reynisson et al., 2020) for peptides of 8 to 11 residues, with strong and weak binders defined at percentile ranks of ≤ 0.5% and ≤ 2%. Antigen processing was added from NetCTL-1.2 as allele-independent proteasomal cleavage and TAP transport (Larsen et al., 2005), and class I immunogenicity from the IEDB model (Calis et al., 2013). Class II binding was predicted with NetMHCIIpan (Reynisson et al., 2020) for 15-mers with a 9-residue core, at percentile ranks of ≤ 2% and ≤ 10%, and helper epitopes were further screened for interferon-γ induction with IFNepitope2 (score ≥ 0.49; Dhall et al., 2024) in human and mouse. Linear B-cell epitopes were predicted with BepiPred-3.0 (Clifford et al., 2022).</w:t>
      </w:r>
    </w:p>
    <w:p>
      <w:r>
        <w:rPr>
          <w:b/>
          <w:i w:val="0"/>
          <w:sz w:val="24"/>
        </w:rPr>
        <w:t>Epitope safety and population coverage.</w:t>
      </w:r>
      <w:r>
        <w:rPr>
          <w:b w:val="0"/>
          <w:i w:val="0"/>
          <w:sz w:val="24"/>
        </w:rPr>
        <w:t xml:space="preserve"> Retained epitopes were required to be non-allergenic, judged by a six-residue identity match to known allergens (FAO/WHO, 2001), and non-toxic, judged by ToxinPred2 with peptides above a machine-learning score of 0.6 removed (Sharma et al., 2022), both as hard filters; epitope self-mimicry to the host proteome, defined as an exact 9-residue match, was flagged softly. Population coverage of the selected epitope set across human HLA alleles was computed with the IEDB population-coverage tool (Bui et al., 2006), with a target of at least 90%.</w:t>
      </w:r>
    </w:p>
    <w:p>
      <w:r>
        <w:rPr>
          <w:b/>
          <w:i w:val="0"/>
          <w:sz w:val="24"/>
        </w:rPr>
        <w:t>Multi-epitope construct and in silico immunisation.</w:t>
      </w:r>
      <w:r>
        <w:rPr>
          <w:b w:val="0"/>
          <w:i w:val="0"/>
          <w:sz w:val="24"/>
        </w:rPr>
        <w:t xml:space="preserve"> The retained epitopes were joined into a single construct with AAY linkers between cytotoxic epitopes and KK linkers around B-cell epitopes (Schubert &amp; Kohlbacher, 2016), GPGPG linkers between helper epitopes (Livingston et al., 2002) and an N-terminal β-defensin adjuvant (Biragyn et al., 2002). Physicochemical properties of the construct were computed with ProtParam (Gasteiger et al., 2005), and the construct was passed to an in silico immunisation module that simulates the antibody and isotype response over time.</w:t>
      </w:r>
    </w:p>
    <w:p>
      <w:r>
        <w:rPr>
          <w:b/>
          <w:i w:val="0"/>
          <w:sz w:val="24"/>
        </w:rPr>
        <w:t>Benchmark pathogens and ground-truth antigens.</w:t>
      </w:r>
      <w:r>
        <w:rPr>
          <w:b w:val="0"/>
          <w:i w:val="0"/>
          <w:sz w:val="24"/>
        </w:rPr>
        <w:t xml:space="preserve"> The bacterial arm used serogroup B </w:t>
      </w:r>
      <w:r>
        <w:rPr>
          <w:b w:val="0"/>
          <w:i/>
          <w:sz w:val="24"/>
        </w:rPr>
        <w:t>N. meningitidis</w:t>
      </w:r>
      <w:r>
        <w:rPr>
          <w:b w:val="0"/>
          <w:i w:val="0"/>
          <w:sz w:val="24"/>
        </w:rPr>
        <w:t xml:space="preserve"> MC58 (UniProt proteome UP000000425, 2,003 proteins; RefSeq NC_003112.2) with the four 4CMenB antigens fHbp (Q9JXV4), NadA (Q9JXK7), NHBA (Q7DD37) and PorA (P0DH58) as ground truth, together with three further species at full proteome scale: </w:t>
      </w:r>
      <w:r>
        <w:rPr>
          <w:b w:val="0"/>
          <w:i/>
          <w:sz w:val="24"/>
        </w:rPr>
        <w:t>S. aureus</w:t>
      </w:r>
      <w:r>
        <w:rPr>
          <w:b w:val="0"/>
          <w:i w:val="0"/>
          <w:sz w:val="24"/>
        </w:rPr>
        <w:t xml:space="preserve"> NCTC 8325 (UP000008816, 2,889 proteins), </w:t>
      </w:r>
      <w:r>
        <w:rPr>
          <w:b w:val="0"/>
          <w:i/>
          <w:sz w:val="24"/>
        </w:rPr>
        <w:t>L. monocytogenes</w:t>
      </w:r>
      <w:r>
        <w:rPr>
          <w:b w:val="0"/>
          <w:i w:val="0"/>
          <w:sz w:val="24"/>
        </w:rPr>
        <w:t xml:space="preserve"> EGD-e (UP000000817, 2,844) and </w:t>
      </w:r>
      <w:r>
        <w:rPr>
          <w:b w:val="0"/>
          <w:i/>
          <w:sz w:val="24"/>
        </w:rPr>
        <w:t>S.</w:t>
      </w:r>
      <w:r>
        <w:rPr>
          <w:b w:val="0"/>
          <w:i w:val="0"/>
          <w:sz w:val="24"/>
        </w:rPr>
        <w:t xml:space="preserve"> Typhimurium LT2 (UP000001014, 4,533), each with five protective or candidate antigens whose evidence and DOIs are listed in `PROTECTIVE_ANTIGENS.md`. The viral arm used rabies virus (species </w:t>
      </w:r>
      <w:r>
        <w:rPr>
          <w:b w:val="0"/>
          <w:i/>
          <w:sz w:val="24"/>
        </w:rPr>
        <w:t>Lyssavirus rabies</w:t>
      </w:r>
      <w:r>
        <w:rPr>
          <w:b w:val="0"/>
          <w:i w:val="0"/>
          <w:sz w:val="24"/>
        </w:rPr>
        <w:t>; NC_001542, glycoprotein G at NP_056796), vesicular stomatitis Indiana virus (</w:t>
      </w:r>
      <w:r>
        <w:rPr>
          <w:b w:val="0"/>
          <w:i/>
          <w:sz w:val="24"/>
        </w:rPr>
        <w:t>Vesiculovirus indiana</w:t>
      </w:r>
      <w:r>
        <w:rPr>
          <w:b w:val="0"/>
          <w:i w:val="0"/>
          <w:sz w:val="24"/>
        </w:rPr>
        <w:t>) and encephalomyocarditis virus (</w:t>
      </w:r>
      <w:r>
        <w:rPr>
          <w:b w:val="0"/>
          <w:i/>
          <w:sz w:val="24"/>
        </w:rPr>
        <w:t>Cardiovirus A</w:t>
      </w:r>
      <w:r>
        <w:rPr>
          <w:b w:val="0"/>
          <w:i w:val="0"/>
          <w:sz w:val="24"/>
        </w:rPr>
        <w:t>). All accessions were verified against NCBI and UniProt (`PATHOGEN_ACCESSIONS.md`). For meningococcus a fixed-seed subsample of the proteome (64 and 204 proteins, four protective antigens plus background) was used, because whole-proteome VaxForge runs are impractical on CPU-only hardware, and the same subsample was given to every tool.</w:t>
      </w:r>
    </w:p>
    <w:p>
      <w:r>
        <w:rPr>
          <w:b/>
          <w:i w:val="0"/>
          <w:sz w:val="24"/>
        </w:rPr>
        <w:t>Comparator tools and their roles.</w:t>
      </w:r>
      <w:r>
        <w:rPr>
          <w:b w:val="0"/>
          <w:i w:val="0"/>
          <w:sz w:val="24"/>
        </w:rPr>
        <w:t xml:space="preserve"> VaxForge was compared with the two reverse vaccinology tools that are current, locally installable and most widely used for bacterial antigen prediction, so that the comparison reflects what a user would actually run (Table 1). Vaxign-ML (Ong et al., 2020) is a supervised machine-learning classifier that takes a protein proteome and returns a protegenicity probability for each protein, ranking candidates but producing no epitopes, host information or construct. NERVE 2.0 (Conte et al., 2024) is an end-to-end bacterial reverse vaccinology environment that takes a bacterial proteome and a Gram label and returns a shortlist of candidate proteins after a cascade of hard selection filters, followed by an optional epitope-prediction module that reports linear MHC-I/II binders and population coverage for human HLA supertypes (Conte et al., 2024). VaxForge takes a proteome, coding sequences or a genome, for bacteria or viruses, and returns ranked antigens together with host-specific epitopes, a multi-epitope construct and an in silico immunisation readout. Both comparators were installed locally in containers and run with default parameters on identical input, with no threshold tuning; recall over ground-truth antigens and the antigen ranks were read from each tool's native output.</w:t>
      </w:r>
    </w:p>
    <w:p>
      <w:r>
        <w:rPr>
          <w:b/>
          <w:i w:val="0"/>
          <w:sz w:val="24"/>
        </w:rPr>
        <w:t>Table 1.</w:t>
      </w:r>
      <w:r>
        <w:rPr>
          <w:b w:val="0"/>
          <w:i w:val="0"/>
          <w:sz w:val="24"/>
        </w:rPr>
        <w:t xml:space="preserve"> Inputs, outputs and capabilities of the three compared tools (✓ present, ✗ absent). Comparator capabilities are stated as described in their source publications (NERVE 2.0, Conte et al., 2024; Vaxign-ML, Ong et al.,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Capability</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Input</w:t>
            </w:r>
          </w:p>
        </w:tc>
        <w:tc>
          <w:tcPr>
            <w:tcW w:type="dxa" w:w="2160"/>
          </w:tcPr>
          <w:p>
            <w:pPr>
              <w:spacing w:line="240" w:lineRule="auto"/>
              <w:jc w:val="left"/>
            </w:pPr>
            <w:r/>
            <w:r>
              <w:rPr>
                <w:b w:val="0"/>
                <w:i w:val="0"/>
                <w:sz w:val="22"/>
              </w:rPr>
              <w:t>proteome, CDS or genome (auto-detected)</w:t>
            </w:r>
          </w:p>
        </w:tc>
        <w:tc>
          <w:tcPr>
            <w:tcW w:type="dxa" w:w="2160"/>
          </w:tcPr>
          <w:p>
            <w:pPr>
              <w:spacing w:line="240" w:lineRule="auto"/>
              <w:jc w:val="left"/>
            </w:pPr>
            <w:r/>
            <w:r>
              <w:rPr>
                <w:b w:val="0"/>
                <w:i w:val="0"/>
                <w:sz w:val="22"/>
              </w:rPr>
              <w:t>bacterial proteome + Gram type</w:t>
            </w:r>
          </w:p>
        </w:tc>
        <w:tc>
          <w:tcPr>
            <w:tcW w:type="dxa" w:w="2160"/>
          </w:tcPr>
          <w:p>
            <w:pPr>
              <w:spacing w:line="240" w:lineRule="auto"/>
              <w:jc w:val="left"/>
            </w:pPr>
            <w:r/>
            <w:r>
              <w:rPr>
                <w:b w:val="0"/>
                <w:i w:val="0"/>
                <w:sz w:val="22"/>
              </w:rPr>
              <w:t>bacterial protein proteome</w:t>
            </w:r>
          </w:p>
        </w:tc>
      </w:tr>
      <w:tr>
        <w:tc>
          <w:tcPr>
            <w:tcW w:type="dxa" w:w="2160"/>
          </w:tcPr>
          <w:p>
            <w:pPr>
              <w:spacing w:line="240" w:lineRule="auto"/>
              <w:jc w:val="left"/>
            </w:pPr>
            <w:r/>
            <w:r>
              <w:rPr>
                <w:b w:val="0"/>
                <w:i w:val="0"/>
                <w:sz w:val="22"/>
              </w:rPr>
              <w:t>Supported pathogens</w:t>
            </w:r>
          </w:p>
        </w:tc>
        <w:tc>
          <w:tcPr>
            <w:tcW w:type="dxa" w:w="2160"/>
          </w:tcPr>
          <w:p>
            <w:pPr>
              <w:spacing w:line="240" w:lineRule="auto"/>
              <w:jc w:val="left"/>
            </w:pPr>
            <w:r/>
            <w:r>
              <w:rPr>
                <w:b w:val="0"/>
                <w:i w:val="0"/>
                <w:sz w:val="22"/>
              </w:rPr>
              <w:t>bacteria and viruses</w:t>
            </w:r>
          </w:p>
        </w:tc>
        <w:tc>
          <w:tcPr>
            <w:tcW w:type="dxa" w:w="2160"/>
          </w:tcPr>
          <w:p>
            <w:pPr>
              <w:spacing w:line="240" w:lineRule="auto"/>
              <w:jc w:val="left"/>
            </w:pPr>
            <w:r/>
            <w:r>
              <w:rPr>
                <w:b w:val="0"/>
                <w:i w:val="0"/>
                <w:sz w:val="22"/>
              </w:rPr>
              <w:t>bacteria only</w:t>
            </w:r>
          </w:p>
        </w:tc>
        <w:tc>
          <w:tcPr>
            <w:tcW w:type="dxa" w:w="2160"/>
          </w:tcPr>
          <w:p>
            <w:pPr>
              <w:spacing w:line="240" w:lineRule="auto"/>
              <w:jc w:val="left"/>
            </w:pPr>
            <w:r/>
            <w:r>
              <w:rPr>
                <w:b w:val="0"/>
                <w:i w:val="0"/>
                <w:sz w:val="22"/>
              </w:rPr>
              <w:t>bacteria (viruses not described in publication)</w:t>
            </w:r>
          </w:p>
        </w:tc>
      </w:tr>
      <w:tr>
        <w:tc>
          <w:tcPr>
            <w:tcW w:type="dxa" w:w="2160"/>
          </w:tcPr>
          <w:p>
            <w:pPr>
              <w:spacing w:line="240" w:lineRule="auto"/>
              <w:jc w:val="left"/>
            </w:pPr>
            <w:r/>
            <w:r>
              <w:rPr>
                <w:b w:val="0"/>
                <w:i w:val="0"/>
                <w:sz w:val="22"/>
              </w:rPr>
              <w:t>Approach</w:t>
            </w:r>
          </w:p>
        </w:tc>
        <w:tc>
          <w:tcPr>
            <w:tcW w:type="dxa" w:w="2160"/>
          </w:tcPr>
          <w:p>
            <w:pPr>
              <w:spacing w:line="240" w:lineRule="auto"/>
              <w:jc w:val="left"/>
            </w:pPr>
            <w:r/>
            <w:r>
              <w:rPr>
                <w:b w:val="0"/>
                <w:i w:val="0"/>
                <w:sz w:val="22"/>
              </w:rPr>
              <w:t>rule + ML hybrid funnel with an immunological layer</w:t>
            </w:r>
          </w:p>
        </w:tc>
        <w:tc>
          <w:tcPr>
            <w:tcW w:type="dxa" w:w="2160"/>
          </w:tcPr>
          <w:p>
            <w:pPr>
              <w:spacing w:line="240" w:lineRule="auto"/>
              <w:jc w:val="left"/>
            </w:pPr>
            <w:r/>
            <w:r>
              <w:rPr>
                <w:b w:val="0"/>
                <w:i w:val="0"/>
                <w:sz w:val="22"/>
              </w:rPr>
              <w:t>rule-based modular pipeline with AI modules</w:t>
            </w:r>
          </w:p>
        </w:tc>
        <w:tc>
          <w:tcPr>
            <w:tcW w:type="dxa" w:w="2160"/>
          </w:tcPr>
          <w:p>
            <w:pPr>
              <w:spacing w:line="240" w:lineRule="auto"/>
              <w:jc w:val="left"/>
            </w:pPr>
            <w:r/>
            <w:r>
              <w:rPr>
                <w:b w:val="0"/>
                <w:i w:val="0"/>
                <w:sz w:val="22"/>
              </w:rPr>
              <w:t>supervised ML classifier (XGBoost)</w:t>
            </w:r>
          </w:p>
        </w:tc>
      </w:tr>
      <w:tr>
        <w:tc>
          <w:tcPr>
            <w:tcW w:type="dxa" w:w="2160"/>
          </w:tcPr>
          <w:p>
            <w:pPr>
              <w:spacing w:line="240" w:lineRule="auto"/>
              <w:jc w:val="left"/>
            </w:pPr>
            <w:r/>
            <w:r>
              <w:rPr>
                <w:b w:val="0"/>
                <w:i w:val="0"/>
                <w:sz w:val="22"/>
              </w:rPr>
              <w:t>Antigen ranking</w:t>
            </w:r>
          </w:p>
        </w:tc>
        <w:tc>
          <w:tcPr>
            <w:tcW w:type="dxa" w:w="2160"/>
          </w:tcPr>
          <w:p>
            <w:pPr>
              <w:spacing w:line="240" w:lineRule="auto"/>
              <w:jc w:val="left"/>
            </w:pPr>
            <w:r/>
            <w:r>
              <w:rPr>
                <w:b w:val="0"/>
                <w:i w:val="0"/>
                <w:sz w:val="22"/>
              </w:rPr>
              <w:t>✓ weighted candidacy score</w:t>
            </w:r>
          </w:p>
        </w:tc>
        <w:tc>
          <w:tcPr>
            <w:tcW w:type="dxa" w:w="2160"/>
          </w:tcPr>
          <w:p>
            <w:pPr>
              <w:spacing w:line="240" w:lineRule="auto"/>
              <w:jc w:val="left"/>
            </w:pPr>
            <w:r/>
            <w:r>
              <w:rPr>
                <w:b w:val="0"/>
                <w:i w:val="0"/>
                <w:sz w:val="22"/>
              </w:rPr>
              <w:t>✓ Select + score</w:t>
            </w:r>
          </w:p>
        </w:tc>
        <w:tc>
          <w:tcPr>
            <w:tcW w:type="dxa" w:w="2160"/>
          </w:tcPr>
          <w:p>
            <w:pPr>
              <w:spacing w:line="240" w:lineRule="auto"/>
              <w:jc w:val="left"/>
            </w:pPr>
            <w:r/>
            <w:r>
              <w:rPr>
                <w:b w:val="0"/>
                <w:i w:val="0"/>
                <w:sz w:val="22"/>
              </w:rPr>
              <w:t>✓ protegenicity score</w:t>
            </w:r>
          </w:p>
        </w:tc>
      </w:tr>
      <w:tr>
        <w:tc>
          <w:tcPr>
            <w:tcW w:type="dxa" w:w="2160"/>
          </w:tcPr>
          <w:p>
            <w:pPr>
              <w:spacing w:line="240" w:lineRule="auto"/>
              <w:jc w:val="left"/>
            </w:pPr>
            <w:r/>
            <w:r>
              <w:rPr>
                <w:b w:val="0"/>
                <w:i w:val="0"/>
                <w:sz w:val="22"/>
              </w:rPr>
              <w:t>Autoimmunity (host-homology) filter</w:t>
            </w:r>
          </w:p>
        </w:tc>
        <w:tc>
          <w:tcPr>
            <w:tcW w:type="dxa" w:w="2160"/>
          </w:tcPr>
          <w:p>
            <w:pPr>
              <w:spacing w:line="240" w:lineRule="auto"/>
              <w:jc w:val="left"/>
            </w:pPr>
            <w:r/>
            <w:r>
              <w:rPr>
                <w:b w:val="0"/>
                <w:i w:val="0"/>
                <w:sz w:val="22"/>
              </w:rPr>
              <w:t>✓ human, mandatory</w:t>
            </w:r>
          </w:p>
        </w:tc>
        <w:tc>
          <w:tcPr>
            <w:tcW w:type="dxa" w:w="2160"/>
          </w:tcPr>
          <w:p>
            <w:pPr>
              <w:spacing w:line="240" w:lineRule="auto"/>
              <w:jc w:val="left"/>
            </w:pPr>
            <w:r/>
            <w:r>
              <w:rPr>
                <w:b w:val="0"/>
                <w:i w:val="0"/>
                <w:sz w:val="22"/>
              </w:rPr>
              <w:t>✓ human + optional mouse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Retains virulence-negative antigens</w:t>
            </w:r>
          </w:p>
        </w:tc>
        <w:tc>
          <w:tcPr>
            <w:tcW w:type="dxa" w:w="2160"/>
          </w:tcPr>
          <w:p>
            <w:pPr>
              <w:spacing w:line="240" w:lineRule="auto"/>
              <w:jc w:val="left"/>
            </w:pPr>
            <w:r/>
            <w:r>
              <w:rPr>
                <w:b w:val="0"/>
                <w:i w:val="0"/>
                <w:sz w:val="22"/>
              </w:rPr>
              <w:t>✓ soft funnel</w:t>
            </w:r>
          </w:p>
        </w:tc>
        <w:tc>
          <w:tcPr>
            <w:tcW w:type="dxa" w:w="2160"/>
          </w:tcPr>
          <w:p>
            <w:pPr>
              <w:spacing w:line="240" w:lineRule="auto"/>
              <w:jc w:val="left"/>
            </w:pPr>
            <w:r/>
            <w:r>
              <w:rPr>
                <w:b w:val="0"/>
                <w:i w:val="0"/>
                <w:sz w:val="22"/>
              </w:rPr>
              <w:t>✗ hard Select removes them</w:t>
            </w:r>
          </w:p>
        </w:tc>
        <w:tc>
          <w:tcPr>
            <w:tcW w:type="dxa" w:w="2160"/>
          </w:tcPr>
          <w:p>
            <w:pPr>
              <w:spacing w:line="240" w:lineRule="auto"/>
              <w:jc w:val="left"/>
            </w:pPr>
            <w:r/>
            <w:r>
              <w:rPr>
                <w:b w:val="0"/>
                <w:i w:val="0"/>
                <w:sz w:val="22"/>
              </w:rPr>
              <w:t>✓ score-based</w:t>
            </w:r>
          </w:p>
        </w:tc>
      </w:tr>
      <w:tr>
        <w:tc>
          <w:tcPr>
            <w:tcW w:type="dxa" w:w="2160"/>
          </w:tcPr>
          <w:p>
            <w:pPr>
              <w:spacing w:line="240" w:lineRule="auto"/>
              <w:jc w:val="left"/>
            </w:pPr>
            <w:r/>
            <w:r>
              <w:rPr>
                <w:b w:val="0"/>
                <w:i w:val="0"/>
                <w:sz w:val="22"/>
              </w:rPr>
              <w:t>T-cell / MHC epitope prediction</w:t>
            </w:r>
          </w:p>
        </w:tc>
        <w:tc>
          <w:tcPr>
            <w:tcW w:type="dxa" w:w="2160"/>
          </w:tcPr>
          <w:p>
            <w:pPr>
              <w:spacing w:line="240" w:lineRule="auto"/>
              <w:jc w:val="left"/>
            </w:pPr>
            <w:r/>
            <w:r>
              <w:rPr>
                <w:b w:val="0"/>
                <w:i w:val="0"/>
                <w:sz w:val="22"/>
              </w:rPr>
              <w:t>✓ NetMHCpan/II + processing + immunogenicity</w:t>
            </w:r>
          </w:p>
        </w:tc>
        <w:tc>
          <w:tcPr>
            <w:tcW w:type="dxa" w:w="2160"/>
          </w:tcPr>
          <w:p>
            <w:pPr>
              <w:spacing w:line="240" w:lineRule="auto"/>
              <w:jc w:val="left"/>
            </w:pPr>
            <w:r/>
            <w:r>
              <w:rPr>
                <w:b w:val="0"/>
                <w:i w:val="0"/>
                <w:sz w:val="22"/>
              </w:rPr>
              <w:t>✓ MHC-I/II, linear, human HLA supertypes</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B-cell epitope prediction</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Host-specific MHC allele selection</w:t>
            </w:r>
          </w:p>
        </w:tc>
        <w:tc>
          <w:tcPr>
            <w:tcW w:type="dxa" w:w="2160"/>
          </w:tcPr>
          <w:p>
            <w:pPr>
              <w:spacing w:line="240" w:lineRule="auto"/>
              <w:jc w:val="left"/>
            </w:pPr>
            <w:r/>
            <w:r>
              <w:rPr>
                <w:b w:val="0"/>
                <w:i w:val="0"/>
                <w:sz w:val="22"/>
              </w:rPr>
              <w:t>✓ human/mouse/cattle/pig</w:t>
            </w:r>
          </w:p>
        </w:tc>
        <w:tc>
          <w:tcPr>
            <w:tcW w:type="dxa" w:w="2160"/>
          </w:tcPr>
          <w:p>
            <w:pPr>
              <w:spacing w:line="240" w:lineRule="auto"/>
              <w:jc w:val="left"/>
            </w:pPr>
            <w:r/>
            <w:r>
              <w:rPr>
                <w:b w:val="0"/>
                <w:i w:val="0"/>
                <w:sz w:val="22"/>
              </w:rPr>
              <w:t>partial (epitopes human HLA only; mouse for safety)</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Population coverage</w:t>
            </w:r>
          </w:p>
        </w:tc>
        <w:tc>
          <w:tcPr>
            <w:tcW w:type="dxa" w:w="2160"/>
          </w:tcPr>
          <w:p>
            <w:pPr>
              <w:spacing w:line="240" w:lineRule="auto"/>
              <w:jc w:val="left"/>
            </w:pPr>
            <w:r/>
            <w:r>
              <w:rPr>
                <w:b w:val="0"/>
                <w:i w:val="0"/>
                <w:sz w:val="22"/>
              </w:rPr>
              <w:t>✓ human HLA (other hosts reported "no data")</w:t>
            </w:r>
          </w:p>
        </w:tc>
        <w:tc>
          <w:tcPr>
            <w:tcW w:type="dxa" w:w="2160"/>
          </w:tcPr>
          <w:p>
            <w:pPr>
              <w:spacing w:line="240" w:lineRule="auto"/>
              <w:jc w:val="left"/>
            </w:pPr>
            <w:r/>
            <w:r>
              <w:rPr>
                <w:b w:val="0"/>
                <w:i w:val="0"/>
                <w:sz w:val="22"/>
              </w:rPr>
              <w:t>✓ human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Multi-epitope construct</w:t>
            </w:r>
          </w:p>
        </w:tc>
        <w:tc>
          <w:tcPr>
            <w:tcW w:type="dxa" w:w="2160"/>
          </w:tcPr>
          <w:p>
            <w:pPr>
              <w:spacing w:line="240" w:lineRule="auto"/>
              <w:jc w:val="left"/>
            </w:pPr>
            <w:r/>
            <w:r>
              <w:rPr>
                <w:b w:val="0"/>
                <w:i w:val="0"/>
                <w:sz w:val="22"/>
              </w:rPr>
              <w:t>✓ linkers + adjuvant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immunisation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Primary output</w:t>
            </w:r>
          </w:p>
        </w:tc>
        <w:tc>
          <w:tcPr>
            <w:tcW w:type="dxa" w:w="2160"/>
          </w:tcPr>
          <w:p>
            <w:pPr>
              <w:spacing w:line="240" w:lineRule="auto"/>
              <w:jc w:val="left"/>
            </w:pPr>
            <w:r/>
            <w:r>
              <w:rPr>
                <w:b w:val="0"/>
                <w:i w:val="0"/>
                <w:sz w:val="22"/>
              </w:rPr>
              <w:t>ranked antigens + host-specific epitopes + construct + immunisation</w:t>
            </w:r>
          </w:p>
        </w:tc>
        <w:tc>
          <w:tcPr>
            <w:tcW w:type="dxa" w:w="2160"/>
          </w:tcPr>
          <w:p>
            <w:pPr>
              <w:spacing w:line="240" w:lineRule="auto"/>
              <w:jc w:val="left"/>
            </w:pPr>
            <w:r/>
            <w:r>
              <w:rPr>
                <w:b w:val="0"/>
                <w:i w:val="0"/>
                <w:sz w:val="22"/>
              </w:rPr>
              <w:t>PVC shortlist + T-cell epitopes / population coverage</w:t>
            </w:r>
          </w:p>
        </w:tc>
        <w:tc>
          <w:tcPr>
            <w:tcW w:type="dxa" w:w="2160"/>
          </w:tcPr>
          <w:p>
            <w:pPr>
              <w:spacing w:line="240" w:lineRule="auto"/>
              <w:jc w:val="left"/>
            </w:pPr>
            <w:r/>
            <w:r>
              <w:rPr>
                <w:b w:val="0"/>
                <w:i w:val="0"/>
                <w:sz w:val="22"/>
              </w:rPr>
              <w:t>protegenicity score per protein</w:t>
            </w:r>
          </w:p>
        </w:tc>
      </w:tr>
    </w:tbl>
    <w:p/>
    <w:p>
      <w:r>
        <w:rPr>
          <w:b/>
          <w:i w:val="0"/>
          <w:sz w:val="24"/>
        </w:rPr>
        <w:t>Statistical analysis.</w:t>
      </w:r>
      <w:r>
        <w:rPr>
          <w:b w:val="0"/>
          <w:i w:val="0"/>
          <w:sz w:val="24"/>
        </w:rPr>
        <w:t xml:space="preserve"> Enrichment of ground-truth antigens among candidates was tested with the Fisher exact test, and antigen ranks with a distribution-free permutation test. Discrimination was summarised with ROC-AUC and bootstrap confidence intervals, and AUC differences with the DeLong test; because each pathogen carries only four to five positives, AUC is reported as secondary with a small-sample caveat. Overlap of host epitope sets was quantified with the Jaccard index. All tests are implemented in `benchmark/stats.py`.</w:t>
      </w:r>
    </w:p>
    <w:p>
      <w:r>
        <w:rPr>
          <w:b/>
          <w:i w:val="0"/>
          <w:sz w:val="24"/>
        </w:rPr>
        <w:t>Pipeline scale-safety validation.</w:t>
      </w:r>
      <w:r>
        <w:rPr>
          <w:b w:val="0"/>
          <w:i w:val="0"/>
          <w:sz w:val="24"/>
        </w:rPr>
        <w:t xml:space="preserve"> During the full-proteome bacterial runs, two scale-dependent defects that had artefactually lowered VaxForge recall were identified and corrected. The localisation step originally submitted every protein in a single container call under a fixed timeout, which for the largest proteome returned empty and forced a heuristic fallback that misassigned surface antigens; it now runs in sub-batches of at most 800 proteins. The class I step originally called NetMHCpan once with the concatenated peptides of all proteins (about 1.37 million unique 9-mers at whole-proteome scale), which collapsed to near-zero coverage; it now processes peptides in chunks of 20,000 in parallel across cores. Control experiments confirmed that the toxicity and allergenicity filters were not responsible, and all three species were re-run after the fixes. Full detail is in `MANUSCRIPT_METHODS.md`, section B.</w:t>
      </w:r>
    </w:p>
    <w:p>
      <w:r>
        <w:rPr>
          <w:b/>
          <w:i w:val="0"/>
          <w:sz w:val="24"/>
        </w:rPr>
        <w:t>Data and code availability.</w:t>
      </w:r>
      <w:r>
        <w:rPr>
          <w:b w:val="0"/>
          <w:i w:val="0"/>
          <w:sz w:val="24"/>
        </w:rPr>
        <w:t xml:space="preserve"> Benchmark scripts, results and figures are under `benchmark/`; pipeline method citations are in `vaxforge/citations.py`; all thresholds are in `config/thresholds.yaml`.</w:t>
      </w:r>
    </w:p>
    <w:p>
      <w:pPr>
        <w:spacing w:before="200"/>
      </w:pPr>
      <w:r>
        <w:rPr>
          <w:b/>
          <w:i w:val="0"/>
          <w:sz w:val="26"/>
        </w:rPr>
        <w:t>Results</w:t>
      </w:r>
    </w:p>
    <w:p>
      <w:r>
        <w:rPr>
          <w:b/>
          <w:i w:val="0"/>
          <w:sz w:val="24"/>
        </w:rPr>
        <w:t>The VaxForge pipeline.</w:t>
      </w:r>
      <w:r>
        <w:rPr>
          <w:b w:val="0"/>
          <w:i w:val="0"/>
          <w:sz w:val="24"/>
        </w:rPr>
        <w:t xml:space="preserve"> VaxForge processes a proteome, coding sequences or a raw genome through automatic input detection, then discovery, an antigen funnel, host-aware epitope prediction, construct assembly and an immunisation check. Discovery aligns proteins against curated virulence references with DIAMOND (Buchfink et al., 2021) and the VFDB (Liu et al., 2022). The funnel combines subcellular localisation from PSORTb (Yu et al., 2010) and DeepLoc (Thumuluri et al., 2022), transmembrane topology from TMHMM (Krogh et al., 2001), signal peptides from SignalP (Almagro Armenteros et al., 2019), antigenicity from IApred (Miles et al., 2025) and a mandatory human-homology exclusion for autoimmune safety, applying a small number of hard cutoffs and ranking the remainder by a weighted candidacy score. Surviving proteins then enter the immunological layer, which is the core of the pipeline. NetMHCpan and NetMHCIIpan (Reynisson et al., 2020) score class I and class II binding for the alleles of the chosen host, so that a T-cell epitope is only kept if it is presented in the intended species. Three further predictors refine the T-cell readout: class I immunogenicity (Calis et al., 2013), proteasomal cleavage together with TAP transport for antigen processing (Larsen et al., 2005), and, for antibody targets, linear B-cell epitopes from BepiPred-3.0 (Clifford et al., 2022). For the selected epitopes VaxForge estimates population coverage across human HLA alleles, and it reports that value as unavailable, rather than imputed, for hosts where allele-frequency data do not exist. The retained epitopes are assembled into a multi-epitope construct with defined linkers (AAY between cytotoxic epitopes, GPGPG between helper epitopes and KK for B-cell epitopes) and an adjuvant, and the construct passes to an in silico immunisation step that simulates the antibody and isotype response over time. Every method is reported with its citation, so the provenance of each score is explicit.</w:t>
      </w:r>
    </w:p>
    <w:p>
      <w:r>
        <w:rPr>
          <w:b/>
          <w:i w:val="0"/>
          <w:sz w:val="24"/>
        </w:rPr>
        <w:t>VaxForge recovers all four licensed meningococcal antigens where NERVE 2.0 recovers one.</w:t>
      </w:r>
      <w:r>
        <w:rPr>
          <w:b w:val="0"/>
          <w:i w:val="0"/>
          <w:sz w:val="24"/>
        </w:rPr>
        <w:t xml:space="preserve"> We first benchmarked on serogroup B </w:t>
      </w:r>
      <w:r>
        <w:rPr>
          <w:b w:val="0"/>
          <w:i/>
          <w:sz w:val="24"/>
        </w:rPr>
        <w:t>N. meningitidis</w:t>
      </w:r>
      <w:r>
        <w:rPr>
          <w:b w:val="0"/>
          <w:i w:val="0"/>
          <w:sz w:val="24"/>
        </w:rPr>
        <w:t xml:space="preserve"> (strain MC58, proteome UP000000425), with the four 4CMenB antigens as ground truth. On an expanded 204-protein set (four protective plus 200 background, fixed seed), VaxForge recovered all four antigens (recall 4 of 4; 68 candidates; fold enrichment 3.12; Fisher exact p = 0.012), ranking PorA first, factor H binding protein third, the Heparin Binding Antigen sixth and adhesin A eighth. Vaxign-ML also recovered all four (59 candidates), whereas NERVE 2.0 recovered only PorA (recall 1 of 4). The same pattern held on a compact 64-protein set and on the full 2,003-protein proteome for the two faster tools (Table 2; Figures 1 and 2). The decisive case is the Heparin Binding Antigen, which is virulence-database negative: VaxForge retained it through the soft funnel, while NERVE 2.0 removed it under its hard selection step. That an independent machine-learning tool, Vaxign-ML, reached the same 4 of 4 recall indicates the behaviour is a property of soft filtering rather than a single-tool artefact.</w:t>
      </w:r>
    </w:p>
    <w:p>
      <w:r>
        <w:rPr>
          <w:b/>
          <w:i w:val="0"/>
          <w:sz w:val="24"/>
        </w:rPr>
        <w:t>Table 2.</w:t>
      </w:r>
      <w:r>
        <w:rPr>
          <w:b w:val="0"/>
          <w:i w:val="0"/>
          <w:sz w:val="24"/>
        </w:rPr>
        <w:t xml:space="preserve">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Figure 1.</w:t>
      </w:r>
      <w:r>
        <w:rPr>
          <w:b w:val="0"/>
          <w:i w:val="0"/>
          <w:sz w:val="24"/>
        </w:rPr>
        <w:t xml:space="preserve"> VaxForge and Vaxign-ML recover all four licensed meningococcal antigens, whereas NERVE 2.0 recovers only PorA. Each point is one tool's result for one antigen, and colour identifies the tool (legend, top right). The number beside each point is that antigen's rank in the tool's candidate list, meaning its position from the top (1 is first, and a lower number is better). A cross in the "not recovered" column marks an antigen the tool did not return at all. Ranks and recall were computed under default parameters on identical input.</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Figure 2.</w:t>
      </w:r>
      <w:r>
        <w:rPr>
          <w:b w:val="0"/>
          <w:i w:val="0"/>
          <w:sz w:val="24"/>
        </w:rPr>
        <w:t xml:space="preserve"> Recall over known antigens separates the tools more clearly than area-under-curve. Per-tool recall of the four meningococcal antigens with secondary AUC annotation; AUC carries a small-sample caveat and is not used as the headline metric (n = 4 positives).</w:t>
      </w:r>
    </w:p>
    <w:p>
      <w:r>
        <w:rPr>
          <w:b/>
          <w:i w:val="0"/>
          <w:sz w:val="24"/>
        </w:rPr>
        <w:t>High fold enrichment does not imply high recall.</w:t>
      </w:r>
      <w:r>
        <w:rPr>
          <w:b w:val="0"/>
          <w:i w:val="0"/>
          <w:sz w:val="24"/>
        </w:rPr>
        <w:t xml:space="preserve"> NERVE 2.0 produced short candidate lists with high fold enrichment (25 on the 204 set, 62.5 on the full proteome), consistent with its published value near 16.6, yet its Fisher exact p was not significant because the candidate count was very small, and it missed three of the four licensed antigens at every scale (Figure 3). The three losses, factor H binding protein, adhesin A and the Heparin Binding Antigen, were not caused by low continuous scores from NERVE 2.0 itself, which rated them highly, but by the hard selection step applied after scoring (periplasmic localisation, adhesin probability below the 0.5 cutoff, and an unknown-localisation call with one predicted transmembrane helix). Fold enrichment therefore rewards selectivity and can rise precisely as recall falls, so it is misleading when read on its own. The metric that reflects what a tool actually delivers is recall over known antigens together with the ranks of those antigens.</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Figure 3.</w:t>
      </w:r>
      <w:r>
        <w:rPr>
          <w:b w:val="0"/>
          <w:i w:val="0"/>
          <w:sz w:val="24"/>
        </w:rPr>
        <w:t xml:space="preserve"> High fold enrichment does not imply high recall. Each bar is the fold enrichment of the known protective antigens in one tool's candidate list, that is, how many times more concentrated the known antigens are among the candidates than expected by chance. The label above each bar is that run's recall, the count of known antigens the tool actually recovered out of the total (4/4 means all four were recovered, 1/4 only one). The dashed line marks the published NERVE 2.0 fold value of 16.6. NERVE 2.0 reaches the highest fold with the lowest recall.</w:t>
      </w:r>
    </w:p>
    <w:p>
      <w:r>
        <w:rPr>
          <w:b/>
          <w:i w:val="0"/>
          <w:sz w:val="24"/>
        </w:rPr>
        <w:t>The pattern generalises across genome scale, and a validation step made the results trustworthy.</w:t>
      </w:r>
      <w:r>
        <w:rPr>
          <w:b w:val="0"/>
          <w:i w:val="0"/>
          <w:sz w:val="24"/>
        </w:rPr>
        <w:t xml:space="preserve"> To move beyond a single exemplar we ran three additional zoonotic bacteria at full proteome scale, chosen for increasing genome size and Gram balance (Table 3). VaxForge recovered 5 of 5 for </w:t>
      </w:r>
      <w:r>
        <w:rPr>
          <w:b w:val="0"/>
          <w:i/>
          <w:sz w:val="24"/>
        </w:rPr>
        <w:t>Staphylococcus aureus</w:t>
      </w:r>
      <w:r>
        <w:rPr>
          <w:b w:val="0"/>
          <w:i w:val="0"/>
          <w:sz w:val="24"/>
        </w:rPr>
        <w:t xml:space="preserve"> (iron-regulated surface determinant B at rank 4 of 2,889), 4 of 5 for </w:t>
      </w:r>
      <w:r>
        <w:rPr>
          <w:b w:val="0"/>
          <w:i/>
          <w:sz w:val="24"/>
        </w:rPr>
        <w:t>Listeria monocytogenes</w:t>
      </w:r>
      <w:r>
        <w:rPr>
          <w:b w:val="0"/>
          <w:i w:val="0"/>
          <w:sz w:val="24"/>
        </w:rPr>
        <w:t xml:space="preserve"> and 5 of 5 for </w:t>
      </w:r>
      <w:r>
        <w:rPr>
          <w:b w:val="0"/>
          <w:i/>
          <w:sz w:val="24"/>
        </w:rPr>
        <w:t>Salmonella enterica</w:t>
      </w:r>
      <w:r>
        <w:rPr>
          <w:b w:val="0"/>
          <w:i w:val="0"/>
          <w:sz w:val="24"/>
        </w:rPr>
        <w:t xml:space="preserve"> serovar Typhimurium, for a total of 14 of 15 (Figure 4). Vaxign-ML recovered 15 of 15 and NERVE 2.0 recovered 9 of 15, missing the same kinds of surface antigens it lost on meningococcus. VaxForge placed protective antigens at higher ranks than Vaxign-ML on the two species where both reached full recall. The single VaxForge miss, ActA of </w:t>
      </w:r>
      <w:r>
        <w:rPr>
          <w:b w:val="0"/>
          <w:i/>
          <w:sz w:val="24"/>
        </w:rPr>
        <w:t>L. monocytogenes</w:t>
      </w:r>
      <w:r>
        <w:rPr>
          <w:b w:val="0"/>
          <w:i w:val="0"/>
          <w:sz w:val="24"/>
        </w:rPr>
        <w:t>, is a genuine hard antigen: it also ranked at the bottom of the Vaxign-ML list, so it reflects the difficulty of the target rather than a pipeline fault. During these runs we identified and corrected two scale-dependent engineering defects that had artefactually lowered VaxForge recall in first-pass runs (initial values of 3 of 5, 3 of 5 and 0 of 5); the localisation and MHC steps were each collapsing under a single oversized batch at full-proteome scale, and both were repartitioned into bounded, parallel sub-batches (`MANUSCRIPT_METHODS.md`, section B). Control experiments confirmed that the toxicity and allergenicity filters were not responsible.</w:t>
      </w:r>
    </w:p>
    <w:p>
      <w:r>
        <w:rPr>
          <w:b/>
          <w:i w:val="0"/>
          <w:sz w:val="24"/>
        </w:rPr>
        <w:t>Table 3.</w:t>
      </w:r>
      <w:r>
        <w:rPr>
          <w:b w:val="0"/>
          <w:i w:val="0"/>
          <w:sz w:val="24"/>
        </w:rPr>
        <w:t xml:space="preserve"> Three-bacterium head-to-head at full proteome scale, with five protective antigens each.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w:t>
            </w:r>
          </w:p>
        </w:tc>
        <w:tc>
          <w:tcPr>
            <w:tcW w:type="dxa" w:w="1440"/>
          </w:tcPr>
          <w:p>
            <w:pPr>
              <w:spacing w:line="240" w:lineRule="auto"/>
              <w:jc w:val="left"/>
            </w:pPr>
            <w:r/>
            <w:r>
              <w:rPr>
                <w:b/>
                <w:i w:val="0"/>
                <w:sz w:val="22"/>
              </w:rPr>
              <w:t>VaxForge 14/15 · Vaxign-ML 15/15 · NERVE 2.0 9/15</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3180328"/>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3180328"/>
                    </a:xfrm>
                    <a:prstGeom prst="rect"/>
                  </pic:spPr>
                </pic:pic>
              </a:graphicData>
            </a:graphic>
          </wp:inline>
        </w:drawing>
      </w:r>
    </w:p>
    <w:p>
      <w:r>
        <w:rPr>
          <w:b/>
          <w:i w:val="0"/>
          <w:sz w:val="24"/>
        </w:rPr>
        <w:t>Figure 4.</w:t>
      </w:r>
      <w:r>
        <w:rPr>
          <w:b w:val="0"/>
          <w:i w:val="0"/>
          <w:sz w:val="24"/>
        </w:rPr>
        <w:t xml:space="preserve"> The recall pattern generalises across three genome scales. Recall over five protective antigens for each tool on </w:t>
      </w:r>
      <w:r>
        <w:rPr>
          <w:b w:val="0"/>
          <w:i/>
          <w:sz w:val="24"/>
        </w:rPr>
        <w:t>S. aureus</w:t>
      </w:r>
      <w:r>
        <w:rPr>
          <w:b w:val="0"/>
          <w:i w:val="0"/>
          <w:sz w:val="24"/>
        </w:rPr>
        <w:t xml:space="preserve">, </w:t>
      </w:r>
      <w:r>
        <w:rPr>
          <w:b w:val="0"/>
          <w:i/>
          <w:sz w:val="24"/>
        </w:rPr>
        <w:t>L. monocytogenes</w:t>
      </w:r>
      <w:r>
        <w:rPr>
          <w:b w:val="0"/>
          <w:i w:val="0"/>
          <w:sz w:val="24"/>
        </w:rPr>
        <w:t xml:space="preserve"> and </w:t>
      </w:r>
      <w:r>
        <w:rPr>
          <w:b w:val="0"/>
          <w:i/>
          <w:sz w:val="24"/>
        </w:rPr>
        <w:t>S.</w:t>
      </w:r>
      <w:r>
        <w:rPr>
          <w:b w:val="0"/>
          <w:i w:val="0"/>
          <w:sz w:val="24"/>
        </w:rPr>
        <w:t xml:space="preserve"> Typhimurium at full proteome scale, with AUC annotation; VaxForge totals 14 of 15, Vaxign-ML 15 of 15 and NERVE 2.0 9 of 15.</w:t>
      </w:r>
    </w:p>
    <w:p>
      <w:r>
        <w:rPr>
          <w:b/>
          <w:i w:val="0"/>
          <w:sz w:val="24"/>
        </w:rPr>
        <w:t>Host selection changes the predicted epitope repertoire, a dimension the comparators cannot address.</w:t>
      </w:r>
      <w:r>
        <w:rPr>
          <w:b w:val="0"/>
          <w:i w:val="0"/>
          <w:sz w:val="24"/>
        </w:rPr>
        <w:t xml:space="preserve"> VaxForge draws binding predictions from curated allele panels for four hosts, human, mouse, bovine and pig (Table 4), taken from IMGT/HLA for human and IPD-MHC for the others. For human, mouse and bovine, both class I and class II run on real NetMHCpan and NetMHCIIpan models, including the BoLA-DRB3 class II panel for cattle; pig class I is real while its class II rests on a single validated allele. The panels are representative subsets rather than the complete databases, and invalid allele names are dropped at runtime, so the reported epitopes are conservative.</w:t>
      </w:r>
    </w:p>
    <w:p>
      <w:r>
        <w:rPr>
          <w:b/>
          <w:i w:val="0"/>
          <w:sz w:val="24"/>
        </w:rPr>
        <w:t>Table 4.</w:t>
      </w:r>
      <w:r>
        <w:rPr>
          <w:b w:val="0"/>
          <w:i w:val="0"/>
          <w:sz w:val="24"/>
        </w:rPr>
        <w:t xml:space="preserve"> Host allele panels used for epitope prediction (representative subsets; full panels in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Host</w:t>
            </w:r>
          </w:p>
        </w:tc>
        <w:tc>
          <w:tcPr>
            <w:tcW w:type="dxa" w:w="2160"/>
          </w:tcPr>
          <w:p>
            <w:pPr>
              <w:spacing w:line="240" w:lineRule="auto"/>
              <w:jc w:val="left"/>
            </w:pPr>
            <w:r/>
            <w:r>
              <w:rPr>
                <w:b/>
                <w:i w:val="0"/>
                <w:sz w:val="22"/>
              </w:rPr>
              <w:t>MHC-I panel (n)</w:t>
            </w:r>
          </w:p>
        </w:tc>
        <w:tc>
          <w:tcPr>
            <w:tcW w:type="dxa" w:w="2160"/>
          </w:tcPr>
          <w:p>
            <w:pPr>
              <w:spacing w:line="240" w:lineRule="auto"/>
              <w:jc w:val="left"/>
            </w:pPr>
            <w:r/>
            <w:r>
              <w:rPr>
                <w:b/>
                <w:i w:val="0"/>
                <w:sz w:val="22"/>
              </w:rPr>
              <w:t>MHC-II panel (n)</w:t>
            </w:r>
          </w:p>
        </w:tc>
        <w:tc>
          <w:tcPr>
            <w:tcW w:type="dxa" w:w="2160"/>
          </w:tcPr>
          <w:p>
            <w:pPr>
              <w:spacing w:line="240" w:lineRule="auto"/>
              <w:jc w:val="left"/>
            </w:pPr>
            <w:r/>
            <w:r>
              <w:rPr>
                <w:b/>
                <w:i w:val="0"/>
                <w:sz w:val="22"/>
              </w:rPr>
              <w:t>Predictor status</w:t>
            </w:r>
          </w:p>
        </w:tc>
      </w:tr>
      <w:tr>
        <w:tc>
          <w:tcPr>
            <w:tcW w:type="dxa" w:w="2160"/>
          </w:tcPr>
          <w:p>
            <w:pPr>
              <w:spacing w:line="240" w:lineRule="auto"/>
              <w:jc w:val="left"/>
            </w:pPr>
            <w:r/>
            <w:r>
              <w:rPr>
                <w:b w:val="0"/>
                <w:i w:val="0"/>
                <w:sz w:val="22"/>
              </w:rPr>
              <w:t>Human (HLA)</w:t>
            </w:r>
          </w:p>
        </w:tc>
        <w:tc>
          <w:tcPr>
            <w:tcW w:type="dxa" w:w="2160"/>
          </w:tcPr>
          <w:p>
            <w:pPr>
              <w:spacing w:line="240" w:lineRule="auto"/>
              <w:jc w:val="left"/>
            </w:pPr>
            <w:r/>
            <w:r>
              <w:rPr>
                <w:b w:val="0"/>
                <w:i w:val="0"/>
                <w:sz w:val="22"/>
              </w:rPr>
              <w:t>HLA-A and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and NetMHCIIpan, real</w:t>
            </w:r>
          </w:p>
        </w:tc>
      </w:tr>
      <w:tr>
        <w:tc>
          <w:tcPr>
            <w:tcW w:type="dxa" w:w="2160"/>
          </w:tcPr>
          <w:p>
            <w:pPr>
              <w:spacing w:line="240" w:lineRule="auto"/>
              <w:jc w:val="left"/>
            </w:pPr>
            <w:r/>
            <w:r>
              <w:rPr>
                <w:b w:val="0"/>
                <w:i w:val="0"/>
                <w:sz w:val="22"/>
              </w:rPr>
              <w:t>Mouse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Bovine (BoLA)</w:t>
            </w:r>
          </w:p>
        </w:tc>
        <w:tc>
          <w:tcPr>
            <w:tcW w:type="dxa" w:w="2160"/>
          </w:tcPr>
          <w:p>
            <w:pPr>
              <w:spacing w:line="240" w:lineRule="auto"/>
              <w:jc w:val="left"/>
            </w:pPr>
            <w:r/>
            <w:r>
              <w:rPr>
                <w:b w:val="0"/>
                <w:i w:val="0"/>
                <w:sz w:val="22"/>
              </w:rPr>
              <w:t>BoLA class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Pig (SLA)</w:t>
            </w:r>
          </w:p>
        </w:tc>
        <w:tc>
          <w:tcPr>
            <w:tcW w:type="dxa" w:w="2160"/>
          </w:tcPr>
          <w:p>
            <w:pPr>
              <w:spacing w:line="240" w:lineRule="auto"/>
              <w:jc w:val="left"/>
            </w:pPr>
            <w:r/>
            <w:r>
              <w:rPr>
                <w:b w:val="0"/>
                <w:i w:val="0"/>
                <w:sz w:val="22"/>
              </w:rPr>
              <w:t>SLA class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class I real; class II single allele</w:t>
            </w:r>
          </w:p>
        </w:tc>
      </w:tr>
    </w:tbl>
    <w:p/>
    <w:p>
      <w:r>
        <w:rPr>
          <w:b w:val="0"/>
          <w:i w:val="0"/>
          <w:sz w:val="24"/>
        </w:rPr>
        <w:t xml:space="preserve">The viral arm was built to exercise this host-specific presentation. Using rabies virus (species </w:t>
      </w:r>
      <w:r>
        <w:rPr>
          <w:b w:val="0"/>
          <w:i/>
          <w:sz w:val="24"/>
        </w:rPr>
        <w:t>Lyssavirus rabies</w:t>
      </w:r>
      <w:r>
        <w:rPr>
          <w:b w:val="0"/>
          <w:i w:val="0"/>
          <w:sz w:val="24"/>
        </w:rPr>
        <w:t>; RefSeq NC_001542), whose glycoprotein G is the only structural protein that elicits neutralising, protective antibodies (Cox et al., 1977), VaxForge ranked G second of five proteins and, more importantly, produced different bound-epitope sets for each of four natural mammalian hosts (glycoprotein G: 8 epitopes in mouse, 7 in human, 7 in bovine, 5 in pig). Pairwise host overlap of the glycoprotein G epitopes was well below unity (Table 5; Figure 5), so the choice of host materially changed the predicted repertoire. Two further four-host viruses reproduced the effect: vesicular stomatitis Indiana virus (</w:t>
      </w:r>
      <w:r>
        <w:rPr>
          <w:b w:val="0"/>
          <w:i/>
          <w:sz w:val="24"/>
        </w:rPr>
        <w:t>Vesiculovirus indiana</w:t>
      </w:r>
      <w:r>
        <w:rPr>
          <w:b w:val="0"/>
          <w:i w:val="0"/>
          <w:sz w:val="24"/>
        </w:rPr>
        <w:t>), a rhabdovirus relative of rabies virus, again placed glycoprotein G at rank 2 of 5 with human and pig overlap as low as 0.33, and encephalomyocarditis virus (</w:t>
      </w:r>
      <w:r>
        <w:rPr>
          <w:b w:val="0"/>
          <w:i/>
          <w:sz w:val="24"/>
        </w:rPr>
        <w:t>Cardiovirus A</w:t>
      </w:r>
      <w:r>
        <w:rPr>
          <w:b w:val="0"/>
          <w:i w:val="0"/>
          <w:sz w:val="24"/>
        </w:rPr>
        <w:t>) placed capsid VP1 at rank 3 of 11 with no shared epitopes at all between bovine and pig. NERVE 2.0 is bacterial only and Vaxign-ML has no host dimension (it ranked rabies glycoprotein G fourth of five with no host resolution), so this capability is unique to VaxForge among the three. Because rabies presents a single protective antigen, the rank statistic here is descriptive rather than inferential (permutation p = 0.40, n = 1), and population-coverage data were reported as unavailable for non-human hosts rather than imputed.</w:t>
      </w:r>
    </w:p>
    <w:p>
      <w:r>
        <w:rPr>
          <w:b/>
          <w:i w:val="0"/>
          <w:sz w:val="24"/>
        </w:rPr>
        <w:t>Table 5.</w:t>
      </w:r>
      <w:r>
        <w:rPr>
          <w:b w:val="0"/>
          <w:i w:val="0"/>
          <w:sz w:val="24"/>
        </w:rPr>
        <w:t xml:space="preserve"> Host-specific epitope resolution across three four-host viruses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Virus (species)</w:t>
            </w:r>
          </w:p>
        </w:tc>
        <w:tc>
          <w:tcPr>
            <w:tcW w:type="dxa" w:w="2160"/>
          </w:tcPr>
          <w:p>
            <w:pPr>
              <w:spacing w:line="240" w:lineRule="auto"/>
              <w:jc w:val="left"/>
            </w:pPr>
            <w:r/>
            <w:r>
              <w:rPr>
                <w:b/>
                <w:i w:val="0"/>
                <w:sz w:val="22"/>
              </w:rPr>
              <w:t>Ground-truth antigen</w:t>
            </w:r>
          </w:p>
        </w:tc>
        <w:tc>
          <w:tcPr>
            <w:tcW w:type="dxa" w:w="2160"/>
          </w:tcPr>
          <w:p>
            <w:pPr>
              <w:spacing w:line="240" w:lineRule="auto"/>
              <w:jc w:val="left"/>
            </w:pPr>
            <w:r/>
            <w:r>
              <w:rPr>
                <w:b/>
                <w:i w:val="0"/>
                <w:sz w:val="22"/>
              </w:rPr>
              <w:t>Rank</w:t>
            </w:r>
          </w:p>
        </w:tc>
        <w:tc>
          <w:tcPr>
            <w:tcW w:type="dxa" w:w="2160"/>
          </w:tcPr>
          <w:p>
            <w:pPr>
              <w:spacing w:line="240" w:lineRule="auto"/>
              <w:jc w:val="left"/>
            </w:pPr>
            <w:r/>
            <w:r>
              <w:rPr>
                <w:b/>
                <w:i w:val="0"/>
                <w:sz w:val="22"/>
              </w:rPr>
              <w:t>Host-pair epitope overlap (Jaccard)</w:t>
            </w:r>
          </w:p>
        </w:tc>
      </w:tr>
      <w:tr>
        <w:tc>
          <w:tcPr>
            <w:tcW w:type="dxa" w:w="2160"/>
          </w:tcPr>
          <w:p>
            <w:pPr>
              <w:spacing w:line="240" w:lineRule="auto"/>
              <w:jc w:val="left"/>
            </w:pPr>
            <w:r/>
            <w:r>
              <w:rPr>
                <w:b w:val="0"/>
                <w:i w:val="0"/>
                <w:sz w:val="22"/>
              </w:rPr>
              <w:t>Rabies virus (Lyssavirus rabies)</w:t>
            </w:r>
          </w:p>
        </w:tc>
        <w:tc>
          <w:tcPr>
            <w:tcW w:type="dxa" w:w="2160"/>
          </w:tcPr>
          <w:p>
            <w:pPr>
              <w:spacing w:line="240" w:lineRule="auto"/>
              <w:jc w:val="left"/>
            </w:pPr>
            <w:r/>
            <w:r>
              <w:rPr>
                <w:b w:val="0"/>
                <w:i w:val="0"/>
                <w:sz w:val="22"/>
              </w:rPr>
              <w:t>glycoprotein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human~bovine 0.75; human~mouse 0.67; human~pig 0.50</w:t>
            </w:r>
          </w:p>
        </w:tc>
      </w:tr>
      <w:tr>
        <w:tc>
          <w:tcPr>
            <w:tcW w:type="dxa" w:w="2160"/>
          </w:tcPr>
          <w:p>
            <w:pPr>
              <w:spacing w:line="240" w:lineRule="auto"/>
              <w:jc w:val="left"/>
            </w:pPr>
            <w:r/>
            <w:r>
              <w:rPr>
                <w:b w:val="0"/>
                <w:i w:val="0"/>
                <w:sz w:val="22"/>
              </w:rPr>
              <w:t>Vesicular stomatitis Indiana virus (Vesiculovirus indiana)</w:t>
            </w:r>
          </w:p>
        </w:tc>
        <w:tc>
          <w:tcPr>
            <w:tcW w:type="dxa" w:w="2160"/>
          </w:tcPr>
          <w:p>
            <w:pPr>
              <w:spacing w:line="240" w:lineRule="auto"/>
              <w:jc w:val="left"/>
            </w:pPr>
            <w:r/>
            <w:r>
              <w:rPr>
                <w:b w:val="0"/>
                <w:i w:val="0"/>
                <w:sz w:val="22"/>
              </w:rPr>
              <w:t>glycoprotein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human~bovine 0.78; human~pig 0.33</w:t>
            </w:r>
          </w:p>
        </w:tc>
      </w:tr>
      <w:tr>
        <w:tc>
          <w:tcPr>
            <w:tcW w:type="dxa" w:w="2160"/>
          </w:tcPr>
          <w:p>
            <w:pPr>
              <w:spacing w:line="240" w:lineRule="auto"/>
              <w:jc w:val="left"/>
            </w:pPr>
            <w:r/>
            <w:r>
              <w:rPr>
                <w:b w:val="0"/>
                <w:i w:val="0"/>
                <w:sz w:val="22"/>
              </w:rPr>
              <w:t>Encephalomyocarditis virus (Cardiovirus A)</w:t>
            </w:r>
          </w:p>
        </w:tc>
        <w:tc>
          <w:tcPr>
            <w:tcW w:type="dxa" w:w="2160"/>
          </w:tcPr>
          <w:p>
            <w:pPr>
              <w:spacing w:line="240" w:lineRule="auto"/>
              <w:jc w:val="left"/>
            </w:pPr>
            <w:r/>
            <w:r>
              <w:rPr>
                <w:b w:val="0"/>
                <w:i w:val="0"/>
                <w:sz w:val="22"/>
              </w:rPr>
              <w:t>capsid VP1</w:t>
            </w:r>
          </w:p>
        </w:tc>
        <w:tc>
          <w:tcPr>
            <w:tcW w:type="dxa" w:w="2160"/>
          </w:tcPr>
          <w:p>
            <w:pPr>
              <w:spacing w:line="240" w:lineRule="auto"/>
              <w:jc w:val="left"/>
            </w:pPr>
            <w:r/>
            <w:r>
              <w:rPr>
                <w:b w:val="0"/>
                <w:i w:val="0"/>
                <w:sz w:val="22"/>
              </w:rPr>
              <w:t>3/11</w:t>
            </w:r>
          </w:p>
        </w:tc>
        <w:tc>
          <w:tcPr>
            <w:tcW w:type="dxa" w:w="2160"/>
          </w:tcPr>
          <w:p>
            <w:pPr>
              <w:spacing w:line="240" w:lineRule="auto"/>
              <w:jc w:val="left"/>
            </w:pPr>
            <w:r/>
            <w:r>
              <w:rPr>
                <w:b w:val="0"/>
                <w:i w:val="0"/>
                <w:sz w:val="22"/>
              </w:rPr>
              <w:t>human~mouse 0.78; bovine~pig 0.00</w:t>
            </w:r>
          </w:p>
        </w:tc>
      </w:tr>
    </w:tbl>
    <w:p/>
    <w:p>
      <w:pPr>
        <w:jc w:val="center"/>
      </w:pPr>
      <w:r>
        <w:drawing>
          <wp:inline xmlns:a="http://schemas.openxmlformats.org/drawingml/2006/main" xmlns:pic="http://schemas.openxmlformats.org/drawingml/2006/picture">
            <wp:extent cx="5669280" cy="3350029"/>
            <wp:docPr id="5" name="Picture 5"/>
            <wp:cNvGraphicFramePr>
              <a:graphicFrameLocks noChangeAspect="1"/>
            </wp:cNvGraphicFramePr>
            <a:graphic>
              <a:graphicData uri="http://schemas.openxmlformats.org/drawingml/2006/picture">
                <pic:pic>
                  <pic:nvPicPr>
                    <pic:cNvPr id="0" name="fig5_multihost_jaccard.png"/>
                    <pic:cNvPicPr/>
                  </pic:nvPicPr>
                  <pic:blipFill>
                    <a:blip r:embed="rId13"/>
                    <a:stretch>
                      <a:fillRect/>
                    </a:stretch>
                  </pic:blipFill>
                  <pic:spPr>
                    <a:xfrm>
                      <a:off x="0" y="0"/>
                      <a:ext cx="5669280" cy="3350029"/>
                    </a:xfrm>
                    <a:prstGeom prst="rect"/>
                  </pic:spPr>
                </pic:pic>
              </a:graphicData>
            </a:graphic>
          </wp:inline>
        </w:drawing>
      </w:r>
    </w:p>
    <w:p>
      <w:r>
        <w:rPr>
          <w:b/>
          <w:i w:val="0"/>
          <w:sz w:val="24"/>
        </w:rPr>
        <w:t>Figure 5.</w:t>
      </w:r>
      <w:r>
        <w:rPr>
          <w:b w:val="0"/>
          <w:i w:val="0"/>
          <w:sz w:val="24"/>
        </w:rPr>
        <w:t xml:space="preserve"> Host selection reshapes the rabies glycoprotein G epitope repertoire. Each bar is one pair of host species (for example human–pig), and its value is the Jaccard overlap between the glycoprotein G epitopes predicted for those two hosts: 1 would mean the two hosts share an identical epitope set and 0 means they share none. Every pair falls below one, so the epitopes predicted for one host do not fully transfer to another and the choice of host changes the predicted repertoire.</w:t>
      </w:r>
    </w:p>
    <w:p>
      <w:pPr>
        <w:spacing w:before="200"/>
      </w:pPr>
      <w:r>
        <w:rPr>
          <w:b/>
          <w:i w:val="0"/>
          <w:sz w:val="26"/>
        </w:rPr>
        <w:t>Discussion</w:t>
      </w:r>
    </w:p>
    <w:p>
      <w:r>
        <w:rPr>
          <w:b w:val="0"/>
          <w:i w:val="0"/>
          <w:sz w:val="24"/>
        </w:rPr>
        <w:t>Benchmarks of reverse vaccinology tools have usually reported enrichment or classifier accuracy on curated positive and negative sets (Goodswen et al., 2023). Our comparison adds a measure that is more decisive for a user: how many independently validated protective antigens each tool actually returns. On the licensed 4CMenB antigens (Pizza et al., 2000; Giuliani et al., 2006), VaxForge and Vaxign-ML recovered all four while NERVE 2.0 recovered one, and across four bacteria VaxForge reached 14 of 15 against 15 of 15 for Vaxign-ML and 9 of 15 for NERVE 2.0. The high recall of the independent machine-learning classifier is in line with the performance Ong et al. (2020) reported for Vaxign-ML, which strengthens these recall estimates rather than leaving them tool-specific. NERVE 2.0's shortfall traces to its hard selection cascade (Conte et al., 2024): antigens that its own score rated highly were removed by fixed localisation and adhesin cut-offs, which raised fold enrichment while lowering recall.</w:t>
      </w:r>
    </w:p>
    <w:p>
      <w:r>
        <w:rPr>
          <w:b w:val="0"/>
          <w:i w:val="0"/>
          <w:sz w:val="24"/>
        </w:rPr>
        <w:t>The clearest case is the Neisserial Heparin Binding Antigen, a licensed 4CMenB component that is not a classical virulence factor and is absent from curated virulence databases (Giuliani et al., 2006). Any pipeline that gates on a virulence-database hit loses it, whereas VaxForge's soft, score-weighted use of that evidence keeps it. This is consistent with a recurring caution in the reverse vaccinology methodology literature that rigid filters trade sensitivity for apparent specificity (Goodswen et al., 2023), and it argues for reporting recall over known antigens, not fold enrichment alone, when tools are compared.</w:t>
      </w:r>
    </w:p>
    <w:p>
      <w:r>
        <w:rPr>
          <w:b w:val="0"/>
          <w:i w:val="0"/>
          <w:sz w:val="24"/>
        </w:rPr>
        <w:t>The second distinguishing feature, host-specific epitope prediction, addresses a gap that bacterial-oriented tools leave open. NetMHCpan and NetMHCIIpan already support many non-human alleles (Reynisson et al., 2020), yet reverse vaccinology pipelines typically apply them against a single human reference. Because rabies virus and the two additional viruses infect all four mammalian hosts examined (Cox et al., 1977; Fooks et al., 2017), we could compute an honest per-host repertoire, and the glycoprotein G epitope sets differed substantially between species (pairwise Jaccard 0.50 to 0.78, and no shared epitopes between bovine and pig for encephalomyocarditis VP1). For the veterinary and zoonotic targets that dominate the practical vaccine burden (Fooks et al., 2017; Hampson et al., 2015), a human-only epitope layer would misstate presentation, so this capability is a concrete advantage rather than a cosmetic one. VaxForge also continues past ranking into construct assembly and an in silico immunisation readout, so its output is a candidate immunogen rather than a list.</w:t>
      </w:r>
    </w:p>
    <w:p>
      <w:r>
        <w:rPr>
          <w:b w:val="0"/>
          <w:i w:val="0"/>
          <w:sz w:val="24"/>
        </w:rPr>
        <w:t xml:space="preserve">Several limitations bound these claims. ActA of </w:t>
      </w:r>
      <w:r>
        <w:rPr>
          <w:b w:val="0"/>
          <w:i/>
          <w:sz w:val="24"/>
        </w:rPr>
        <w:t>L. monocytogenes</w:t>
      </w:r>
      <w:r>
        <w:rPr>
          <w:b w:val="0"/>
          <w:i w:val="0"/>
          <w:sz w:val="24"/>
        </w:rPr>
        <w:t xml:space="preserve"> was missed by VaxForge and also ranked last by the independent tool, so it is a genuinely difficult target rather than a pipeline fault; its recovery would need conformational or context-specific signals that a linear-epitope pipeline does not model, and most B-cell epitopes are in any case discontinuous (Michalik et al., 2016). The default toxicity filter can discard peptides from toxin antigens such as listeriolysin O, a conservative choice we did not tune for the benchmark. We report area-under-curve only as a secondary measure with an explicit small-sample caveat, because four to five positives per pathogen cannot resolve AUC differences, and we make no claim of superior discrimination on that basis. Finally, whole-proteome VaxForge runs are impractical on current CPU-only hardware, so the meningococcal comparison used matched subsamples that are fair across tools while full proteomes were run only for the faster comparators.</w:t>
      </w:r>
    </w:p>
    <w:p>
      <w:r>
        <w:rPr>
          <w:b w:val="0"/>
          <w:i w:val="0"/>
          <w:sz w:val="24"/>
        </w:rPr>
        <w:t>Two directions follow. A GPU backend would allow whole-proteome VaxForge runs and complete the head-to-head at full scale for every pathogen, and the cross-species divergence of the viral glycoprotein epitopes is a concrete hypothesis that binding and immunisation experiments could test. Both extensions fit the existing framework without redesign.</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