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(tür </w:t>
      </w:r>
      <w:r>
        <w:rPr>
          <w:b w:val="0"/>
          <w:i/>
          <w:sz w:val="24"/>
        </w:rPr>
        <w:t>Lyssavirus rabies</w:t>
      </w:r>
      <w:r>
        <w:rPr>
          <w:b w:val="0"/>
          <w:i w:val="0"/>
          <w:sz w:val="24"/>
        </w:rPr>
        <w:t>; NC_001542; glikoprotein G, NP_056796), veziküler stomatit Indiana virüsü (</w:t>
      </w:r>
      <w:r>
        <w:rPr>
          <w:b w:val="0"/>
          <w:i/>
          <w:sz w:val="24"/>
        </w:rPr>
        <w:t>Vesiculovirus indiana</w:t>
      </w:r>
      <w:r>
        <w:rPr>
          <w:b w:val="0"/>
          <w:i w:val="0"/>
          <w:sz w:val="24"/>
        </w:rPr>
        <w:t>) ve ensefalomiyokardit virüsü (</w:t>
      </w:r>
      <w:r>
        <w:rPr>
          <w:b w:val="0"/>
          <w:i/>
          <w:sz w:val="24"/>
        </w:rPr>
        <w:t>Cardiovirus A</w:t>
      </w:r>
      <w:r>
        <w:rPr>
          <w:b w:val="0"/>
          <w:i w:val="0"/>
          <w:sz w:val="24"/>
        </w:rPr>
        <w:t>)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3).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4).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i w:val="0"/>
          <w:sz w:val="24"/>
        </w:rPr>
        <w:t>Tablo 3.</w:t>
      </w:r>
      <w:r>
        <w:rPr>
          <w:b w:val="0"/>
          <w:i w:val="0"/>
          <w:sz w:val="24"/>
        </w:rPr>
        <w:t xml:space="preserve">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Şekil 4.</w:t>
      </w:r>
      <w:r>
        <w:rPr>
          <w:b w:val="0"/>
          <w:i w:val="0"/>
          <w:sz w:val="24"/>
        </w:rPr>
        <w:t xml:space="preserve"> Recall kalıbı üç genom ölçeğinde de sürer.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 xml:space="preserve">Virüs kolunu bu konak-özgü sunumu sınamak için kurduk. Tek yapısal proteini olan glikoprotein G'nin nötralize edici ve koruyucu antikorları uyaran tek protein olduğu (Cox vd., 1977) kuduz virüsünde (tür </w:t>
      </w:r>
      <w:r>
        <w:rPr>
          <w:b w:val="0"/>
          <w:i/>
          <w:sz w:val="24"/>
        </w:rPr>
        <w:t>Lyssavirus rabies</w:t>
      </w:r>
      <w:r>
        <w:rPr>
          <w:b w:val="0"/>
          <w:i w:val="0"/>
          <w:sz w:val="24"/>
        </w:rPr>
        <w:t>;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5; Şekil 5); yani konak seçimi öngörülen repertuarı gözle görülür biçimde değiştirdi. İki ek dört-konaklı virüs bu etkiyi yineledi: kuduz virüsünün rabdovirüs akrabası veziküler stomatit Indiana virüsü (</w:t>
      </w:r>
      <w:r>
        <w:rPr>
          <w:b w:val="0"/>
          <w:i/>
          <w:sz w:val="24"/>
        </w:rPr>
        <w:t>Vesiculovirus indiana</w:t>
      </w:r>
      <w:r>
        <w:rPr>
          <w:b w:val="0"/>
          <w:i w:val="0"/>
          <w:sz w:val="24"/>
        </w:rPr>
        <w:t>) glikoprotein G'yi yine 5 içinde 2. sıraya koydu ve insan ile domuz örtüşmesi 0,33'e kadar indi; ensefalomiyokardit virüsü (</w:t>
      </w:r>
      <w:r>
        <w:rPr>
          <w:b w:val="0"/>
          <w:i/>
          <w:sz w:val="24"/>
        </w:rPr>
        <w:t>Cardiovirus A</w:t>
      </w:r>
      <w:r>
        <w:rPr>
          <w:b w:val="0"/>
          <w:i w:val="0"/>
          <w:sz w:val="24"/>
        </w:rPr>
        <w:t>)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 (tür)</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 (Lyssavirus rabies)</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Indiana virüsü (Vesiculovirus indiana)</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 (Cardiovirus A)</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dört bakteride VaxForge 14/15'e, Vaxign-ML 15/15'e, NERVE 2.0 9/15'e ulaştı. Bağımsız makine-öğrenmesi sınıflandırıcısının yüksek recall'ı, Ong vd.'nin (2020) Vaxign-ML için bildirdiği başarımla uyumludur; bu, recall tahminlerimizi tek-araca özgü bırakmak yerine güçlendirir.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Kuduz virüsü ve iki ek virüs incelenen dört memeli konağın hepsini enfekte ettiğinden (Cox vd., 1977; Fooks vd., 2017), her konak için dürüst bir repertuar hesaplayabildik; glikoprotein G epitop setleri türden türe belirgin biçimde farklıydı (ikili Jaccard 0,50-0,78 ve ensefalomiyokardit VP1'de sığır ile domuz arasında hiç ortak epitop yok). Pratik aşı yükünün çoğunu oluşturan veteriner ve zoonotik hedefler için (Fooks vd., 2017; Hampson vd., 2015), yalnız-insan bir epitop katmanı sunumu yanlış verir; dolayısıyla bu yetenek kozmetik değil, somut bir üstünlüktür.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