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On beş ruhsatlı ya da preklinik koruyucu antijenin ground-truth alındığı dört bakteriyel proteomda VaxForge 15 antijenin 14'ünü geri getirdi. Bu değer Vaxign-ML'inkiyle (15/15) yarışır ve NERVE 2.0'ın (9/15) belirgin önündedir; üstelik VaxForge koruyucu antijenleri daha üst sıralara koydu (örneğin demir-düzenlenen yüzey belirleyicisi B, 2.889 protein içinde 4. sırada). VaxForge'un kaçırdığı tek antijen olan ActA, bağımsız araçta da en dipte çıktı; yani bir yapaylık değil, gerçekten zor bir hedef. NERVE 2.0 daha yüksek fold-zenginleşmeye ulaştı, ama bunu dört ruhsatlı meningokok antijeninden üçünü her ölçekte eleyerek yaptı; dolayısıyla fold-zenginleşme tek başına yanıltıcıdır. Bir kuduz modeli ve iki virüste VaxForge, türden türe belirgin biçimde değişen konak-özgü glikoprotein epitop repertuarları verdi (ikili Jaccard örtüşmesi birin altında, bir durumda sıfır); bu, karşılaştırılan araçların ulaşamadığı bir boyuttur.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dört bakteri ve üç virüste NERVE 2.0 ve Vaxign-ML'e karşı ölçüyor, ayrıca çalışma sırasında yakalayıp giderdiğimiz iki ölçek kaynaklı kusurun oluşturduğu hat doğrulamasını sunuyoruz.</w:t>
      </w:r>
    </w:p>
    <w:p>
      <w:pPr>
        <w:spacing w:before="200"/>
      </w:pPr>
      <w:r>
        <w:rPr>
          <w:b/>
          <w:i w:val="0"/>
          <w:sz w:val="26"/>
        </w:rPr>
        <w:t>Materyal ve Metot</w:t>
      </w:r>
    </w:p>
    <w:p>
      <w:r>
        <w:rPr>
          <w:b/>
          <w:i w:val="0"/>
          <w:sz w:val="24"/>
        </w:rPr>
        <w:t>VaxForge hattı.</w:t>
      </w:r>
      <w:r>
        <w:rPr>
          <w:b w:val="0"/>
          <w:i w:val="0"/>
          <w:sz w:val="24"/>
        </w:rPr>
        <w:t xml:space="preserve"> VaxForge, tek bir eşik dosyasıyla yapılandırılan deterministik bir hattır; hiçbir kesim değeri kodda gömülü değildir ve her değer denetlenebilir (`config/thresholds.yaml`). Girdi türü (proteom, kodlayan diziler ya da genom) otomatik tanınır. Keşif adımı proteinleri DIAMOND blastp ile küratörlü virülans referanslarına (VFDB) hizalar (bakteride e-value en çok 1e-5, kimlik en az %30, kapsam en az %50); bu adım kapı görevi görmez, adaylık puanını besler, böylece virülans veritabanında bulunmayan gerçek bir yüzey antijeni elenmez. Antijen hunisi ardından birkaç sert filtre uygular: hücre-altı yerleşim (PSORTb 3.0, yedek DeepLoc 2.0; sitoplazmik proteinler elenir), transmembran topoloji (TMHMM-2.0; en çok bir heliks) ve zorunlu insan-homoloji elemesi (insan proteomuna karşı DIAMOND blastp; %35 üstü kimlik, otoimmün güvenlik için elenir). Bunların yanında sinyal peptidi (SignalP-5.0), antijenite (IApred), suşlar arası korunmuşluk ve adezin olasılığı puana katkı veren yumuşak terimlerdir. Geçen proteinler ağırlıklı bir adaylık puanıyla sıralanır.</w:t>
      </w:r>
    </w:p>
    <w:p>
      <w:r>
        <w:rPr>
          <w:b w:val="0"/>
          <w:i w:val="0"/>
          <w:sz w:val="24"/>
        </w:rPr>
        <w:t>İmmünolojik katman, seçilen konak için sınıf I ve sınıf II bağlanmayı (NetMHCpan-4.1 ve NetMHCIIpan; sınıf I peptit uzunlukları 8-11) güçlü ve zayıf bağlayıcı için varsayılan yüzdelik-sıra kesimleriyle tahmin eder; buna sınıf I immünojenite (Calis vd., 2013), proteozomal kesim ile TAP taşınımı (Larsen vd., 2005) ve lineer B-hücre epitopları (BepiPred-3.0) eşlik eder. Epitop güvenliği toksisite (ToxinPred2; Sharma vd., 2022) ve bilinen alerjenlere altı-kalıntılık birebir benzerliğe dayanan bir alerjenite kuralıyla (FAO/WHO, 2001) taranır; epitopun konak proteomuna kendi-mimikrisi yumuşak biçimde işaretlenir. Seçilen epitoplar için insan HLA allellerinde popülasyon kapsamı hesaplanır; sonra epitoplar AAY, GPGPG ve KK linkerleri ile bir adjuvan kullanılarak çok-epitoplu bir konstrukta birleştirilir ve in silico immünizasyon modülüyle değerlendirilir.</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üç tür daha eklendi: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kanıtı ve DOI'leri `PROTECTIVE_ANTIGENS.md`'de listelenen beşer koruyucu ya da aday antijenle. Virüs kolunda kuduz virüsü (NC_001542; glikoprotein G, NP_056796), veziküler stomatit virüsü ve ensefalomiyokardit virüsü kullanıldı.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w:t>
      </w:r>
      <w:r>
        <w:rPr>
          <w:b w:val="0"/>
          <w:i w:val="0"/>
          <w:sz w:val="24"/>
        </w:rPr>
        <w:t xml:space="preserve"> NERVE 2.0 ve Vaxign-ML yerelde konteynerlerde kuruldu ve özdeş girdi üzerinde, eşik ayarı yapılmadan, varsayılan parametrelerle koşuldu. Ground-truth antijenlerdeki recall ve antijen sıraları her aracın kendi çıktısından okundu.</w:t>
      </w:r>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iki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Kontrol deneyleri toksisite ve alerjenite filtrelerinin suçsuz olduğunu doğruladı; düzeltmelerin ardından üç tür de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1;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val="0"/>
          <w:i/>
          <w:sz w:val="24"/>
        </w:rPr>
        <w:t>Tablo 1.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r>
        <w:rPr>
          <w:b/>
          <w:i w:val="0"/>
          <w:sz w:val="24"/>
        </w:rPr>
        <w:t>Kalıp genom ölçeğinden bağımsız ve bir doğrulama adımı sonuçları güvenilir kıldı.</w:t>
      </w:r>
      <w:r>
        <w:rPr>
          <w:b w:val="0"/>
          <w:i w:val="0"/>
          <w:sz w:val="24"/>
        </w:rPr>
        <w:t xml:space="preserve"> Tek örnekle sınırlı kalmamak için, artan genom boyutu ve Gram dengesine göre seçtiğimiz üç zoonotik bakteriyi tam proteom ölçeğinde koştuk (Tablo 2).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buldu; toplam 14/15 (Şekil 5). Vaxign-ML 15/15, NERVE 2.0 ise 9/15 bularak meningokoktakiyle aynı türden yüzey antijenlerini yine kaçırdı. Her iki aracın da tam recall'a ulaştığı iki türde VaxForge koruyucu antijenleri Vaxign-ML'den daha üste yerleştirdi. VaxForge'un tek kaybı olan </w:t>
      </w:r>
      <w:r>
        <w:rPr>
          <w:b w:val="0"/>
          <w:i/>
          <w:sz w:val="24"/>
        </w:rPr>
        <w:t>L. monocytogenes</w:t>
      </w:r>
      <w:r>
        <w:rPr>
          <w:b w:val="0"/>
          <w:i w:val="0"/>
          <w:sz w:val="24"/>
        </w:rPr>
        <w:t xml:space="preserve"> ActA'sı gerçekten zor bir antijendir; Vaxign-ML listesinde de en dipte çıktı, yani hedefin zorluğunu yansıtır, bir hat kusurunu değil. Bu koşular sırasında, ilk denemelerde VaxForge recall'ını yapay olarak düşüren iki ölçek kaynaklı kusuru saptayıp giderdik (ilk değerler 3/5, 3/5 ve 0/5); lokalizasyon ve MHC adımları tam-proteom ölçeğinde tek ve aşırı büyük bir yığın altında çöküyordu, ikisini de sınırlı ve paralel alt-yığınlara böldük (`MANUSCRIPT_METHODS.md`, bölüm B). Kontrol deneyleri toksisite ve alerjenite filtrelerinin suçsuz olduğunu doğruladı.</w:t>
      </w:r>
    </w:p>
    <w:p>
      <w:r>
        <w:rPr>
          <w:b w:val="0"/>
          <w:i/>
          <w:sz w:val="24"/>
        </w:rPr>
        <w:t>Tablo 2. Tam proteom ölçeğinde üç-bakteri karşılaştırması;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3).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Virüs kolunu bu konak-özgü sunumu sınamak için kurduk. Tek yapısal proteini olan glikoprotein G'nin nötralize edici ve koruyucu antikorları uyaran tek protein olduğu (Cox vd., 1977) kuduz virüsünde (RefSeq NC_001542), VaxForge G'yi beş protein içinde ikinci sıraya koydu; daha da önemlisi dört doğal memeli konağın her biri için farklı bağlı-epitop setleri üretti (glikoprotein G: farede 8, insanda 7, sığırda 7, domuzda 5). Glikoprotein G epitoplarının ikili konak örtüşmesi birin belirgin altındaydı (Tablo 4); yani konak seçimi öngörülen repertuarı gözle görülür biçimde değiştirdi. İki ek dört-konaklı virüs bu etkiyi yineledi: kuduzun rabdovirüs akrabası veziküler stomatit virüsü glikoprotein G'yi yine 5 içinde 2. sıraya koydu ve insan ile domuz örtüşmesi 0,33'e kadar indi; ensefalomiyokardit virüsü kapsid VP1'i 11 içinde 3. sıraya koydu ve sığır ile domuz arasında hiç ortak epitop çıkmadı. NERVE 2.0 yalnız bakteriler için çalışır, Vaxign-ML'de konak boyutu yoktur (kuduz glikoprotein G'yi konak ayrımı olmadan 5 içinde 4. sıraya koydu); dolayısıyla bu yetenek üç araç arasında yalnız VaxForge'da vardır. Kuduz tek koruyucu antijen sunduğundan buradaki sıra istatistiği çıkarımsal değil betimseldir (permütasyon p = 0,40, n = 1); popülasyon kapsamı da insan-dışı konaklarda uydurulmadan "veri yok" olarak bildirildi.</w:t>
      </w:r>
    </w:p>
    <w:p>
      <w:r>
        <w:rPr>
          <w:b w:val="0"/>
          <w:i/>
          <w:sz w:val="24"/>
        </w:rPr>
        <w:t>Tablo 3.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val="0"/>
          <w:i/>
          <w:sz w:val="24"/>
        </w:rPr>
        <w:t>Tablo 4.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Virüs</w:t>
            </w:r>
          </w:p>
        </w:tc>
        <w:tc>
          <w:tcPr>
            <w:tcW w:type="dxa" w:w="2160"/>
          </w:tcPr>
          <w:p>
            <w:pPr>
              <w:spacing w:line="240" w:lineRule="auto"/>
              <w:jc w:val="left"/>
            </w:pPr>
            <w:r/>
            <w:r>
              <w:rPr>
                <w:b/>
                <w:i w:val="0"/>
                <w:sz w:val="22"/>
              </w:rPr>
              <w:t>Ground-truth antijen</w:t>
            </w:r>
          </w:p>
        </w:tc>
        <w:tc>
          <w:tcPr>
            <w:tcW w:type="dxa" w:w="2160"/>
          </w:tcPr>
          <w:p>
            <w:pPr>
              <w:spacing w:line="240" w:lineRule="auto"/>
              <w:jc w:val="left"/>
            </w:pPr>
            <w:r/>
            <w:r>
              <w:rPr>
                <w:b/>
                <w:i w:val="0"/>
                <w:sz w:val="22"/>
              </w:rPr>
              <w:t>Sıra</w:t>
            </w:r>
          </w:p>
        </w:tc>
        <w:tc>
          <w:tcPr>
            <w:tcW w:type="dxa" w:w="2160"/>
          </w:tcPr>
          <w:p>
            <w:pPr>
              <w:spacing w:line="240" w:lineRule="auto"/>
              <w:jc w:val="left"/>
            </w:pPr>
            <w:r/>
            <w:r>
              <w:rPr>
                <w:b/>
                <w:i w:val="0"/>
                <w:sz w:val="22"/>
              </w:rPr>
              <w:t>Konak-çifti epitop örtüşmesi (Jaccard)</w:t>
            </w:r>
          </w:p>
        </w:tc>
      </w:tr>
      <w:tr>
        <w:tc>
          <w:tcPr>
            <w:tcW w:type="dxa" w:w="2160"/>
          </w:tcPr>
          <w:p>
            <w:pPr>
              <w:spacing w:line="240" w:lineRule="auto"/>
              <w:jc w:val="left"/>
            </w:pPr>
            <w:r/>
            <w:r>
              <w:rPr>
                <w:b w:val="0"/>
                <w:i w:val="0"/>
                <w:sz w:val="22"/>
              </w:rPr>
              <w:t>Kuduz virüsü</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0,75; insan~fare 0,67; insan~domuz 0,50</w:t>
            </w:r>
          </w:p>
        </w:tc>
      </w:tr>
      <w:tr>
        <w:tc>
          <w:tcPr>
            <w:tcW w:type="dxa" w:w="2160"/>
          </w:tcPr>
          <w:p>
            <w:pPr>
              <w:spacing w:line="240" w:lineRule="auto"/>
              <w:jc w:val="left"/>
            </w:pPr>
            <w:r/>
            <w:r>
              <w:rPr>
                <w:b w:val="0"/>
                <w:i w:val="0"/>
                <w:sz w:val="22"/>
              </w:rPr>
              <w:t>Veziküler stomatit virüsü</w:t>
            </w:r>
          </w:p>
        </w:tc>
        <w:tc>
          <w:tcPr>
            <w:tcW w:type="dxa" w:w="2160"/>
          </w:tcPr>
          <w:p>
            <w:pPr>
              <w:spacing w:line="240" w:lineRule="auto"/>
              <w:jc w:val="left"/>
            </w:pPr>
            <w:r/>
            <w:r>
              <w:rPr>
                <w:b w:val="0"/>
                <w:i w:val="0"/>
                <w:sz w:val="22"/>
              </w:rPr>
              <w:t>glikoprotein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insan~sığır 0,78; insan~domuz 0,33</w:t>
            </w:r>
          </w:p>
        </w:tc>
      </w:tr>
      <w:tr>
        <w:tc>
          <w:tcPr>
            <w:tcW w:type="dxa" w:w="2160"/>
          </w:tcPr>
          <w:p>
            <w:pPr>
              <w:spacing w:line="240" w:lineRule="auto"/>
              <w:jc w:val="left"/>
            </w:pPr>
            <w:r/>
            <w:r>
              <w:rPr>
                <w:b w:val="0"/>
                <w:i w:val="0"/>
                <w:sz w:val="22"/>
              </w:rPr>
              <w:t>Ensefalomiyokardit virüsü</w:t>
            </w:r>
          </w:p>
        </w:tc>
        <w:tc>
          <w:tcPr>
            <w:tcW w:type="dxa" w:w="2160"/>
          </w:tcPr>
          <w:p>
            <w:pPr>
              <w:spacing w:line="240" w:lineRule="auto"/>
              <w:jc w:val="left"/>
            </w:pPr>
            <w:r/>
            <w:r>
              <w:rPr>
                <w:b w:val="0"/>
                <w:i w:val="0"/>
                <w:sz w:val="22"/>
              </w:rPr>
              <w:t>kapsid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insan~fare 0,78; sığır~domuz 0,00</w:t>
            </w:r>
          </w:p>
        </w:tc>
      </w:tr>
    </w:tbl>
    <w:p/>
    <w:p>
      <w:pPr>
        <w:spacing w:before="200"/>
      </w:pPr>
      <w:r>
        <w:rPr>
          <w:b/>
          <w:i w:val="0"/>
          <w:sz w:val="26"/>
        </w:rPr>
        <w:t>Tartışma</w:t>
      </w:r>
    </w:p>
    <w:p>
      <w:r>
        <w:rPr>
          <w:b w:val="0"/>
          <w:i w:val="0"/>
          <w:sz w:val="24"/>
        </w:rPr>
        <w:t>VaxForge, bilinen koruyucu antijenleri geri getirmede güçlü bir bağımsız tahminci kadar başarılı oldu ve o tahmincinin sunmadığı iki yeteneği ekledi. Dört bakteride 15 doğrulanmış antijenin 14'ünü buldu; bu, Vaxign-ML için 15/15, NERVE 2.0 için 9/15'e karşılık gelir ve VaxForge antijenleri en az onlar kadar, çoğu yerde daha üst sıraya koydu. NERVE 2.0'ın eksiği belirli bir nedene dayanıyor: sert seçim adımı, kendi sürekli skorunun yüksek verdiği gerçek yüzey antijenlerini eledi; bu da fold-zenginleşmeyi şişirirken recall'ı kesti. Fold-zenginleşme bir hattı olduğundan keskin gösterebilir; bu yüzden bu tür karşılaştırmalarda güvenilecek sayı, bilinen antijenlerdeki recall'dır.</w:t>
      </w:r>
    </w:p>
    <w:p>
      <w:r>
        <w:rPr>
          <w:b w:val="0"/>
          <w:i w:val="0"/>
          <w:sz w:val="24"/>
        </w:rPr>
        <w:t>İki özellik VaxForge'u recall'ın ötesinde ayırır. Yumuşak virülans filtresi, virülans-veritabanı kaydı olmayan ruhsatlı bir bileşeni, Neisseria Heparin Bağlayıcı Antijeni, geri kazandı; konak-duyarlı epitop katmanı ise kuduz, veziküler stomatit ve ensefalomiyokardit virüsleri için türe özgü repertuarlar verdi. İkincisi, hedef konağın insan olmadığı geniş veteriner ve zoonotik alan için önemlidir; orada tek bir insan referansı hangi peptitlerin sunulduğunu yanlış gösterir. VaxForge ayrıca sıralamadan sonra konstrukt kurulumuna ve in silico immünizasyon çıktısına geçer; böylece elde bir liste değil, aday bir immünojen kalır.</w:t>
      </w:r>
    </w:p>
    <w:p>
      <w:r>
        <w:rPr>
          <w:b w:val="0"/>
          <w:i w:val="0"/>
          <w:sz w:val="24"/>
        </w:rPr>
        <w:t>Birkaç sınırlama bu iddiaları çerçeveler. ActA'yı VaxForge kaçırdı; bağımsız aracın da en dibe koyduğu gerçekten zor bir antijen olsa da, geri kazanımı lineer-epitop bir hattın modellemediği konformasyonel ya da bağlama-özgü sinyalleri gerektirir. Varsayılan toksisite filtresi, toksin antijenlerinden gelen peptitleri eleyebilir; bu, ölçek düzeltmelerinden önce por-açan listeriolizin O'da peptit-düzeyi recall'ını düşürmüştü ve karşılaştırma için ayarlamadığımız temkinli bir seçim olarak kalıyor. AUC değerlerini başlık değil, açık bir küçük-örneklem uyarısıyla ikincil olarak veriyoruz; çünkü patojen başına yalnız dört ila beş pozitifle farklar istatistiksel olarak ayrışmıyor, bu temelde üstün ayrım iddia etmiyoruz. Bakteriyel karşılaştırma bir ölçek asimetrisi de taşır: VaxForge'un tam-proteom meningokok koşuları bugünkü CPU-yalnız donanımda pratik değil, bu yüzden amiral meningokok karşılaştırması araçlar arası adil olan eşlenmiş alt-örneklem setlerini kullandı; tam proteom yalnız hızlı araçlarda koşulabildi. Son olarak, B-hücre epitoplarının kabaca onda dokuzu süreksizdir ve buradaki lineer konstrukt konformasyonel epitopları temsil etmez; bunu çözmek yerine bir kapsam sınırı olarak belirtiyoruz.</w:t>
      </w:r>
    </w:p>
    <w:p>
      <w:r>
        <w:rPr>
          <w:b w:val="0"/>
          <w:i w:val="0"/>
          <w:sz w:val="24"/>
        </w:rPr>
        <w:t>İki yön kendiliğinden çıkıyor. Bir GPU arka ucu, tam-proteom VaxForge koşularına ve her patojende tam ölçekli karşılaştırmaya olanak verir. Konak-özgü epitop tahminleri, özellikle viral glikoproteinlerde görülen türler-arası ayrışma, bağlanma ve immünizasyon deneyleriyle sınanabilecek somut hipotezlerdir. Hat ve karşılaştırması, bu iki genişlemenin de yeniden tasarım gerektirmeden mevcut çerçeveye oturacağı biçimde kurulmuştur.</w:t>
      </w:r>
    </w:p>
    <w:p>
      <w:pPr>
        <w:spacing w:before="200"/>
      </w:pPr>
      <w:r>
        <w:rPr>
          <w:b/>
          <w:i w:val="0"/>
          <w:sz w:val="26"/>
        </w:rPr>
        <w:t>Şekiller</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Şekil 1. VaxForge ve Vaxign-ML dört ruhsatlı meningokok antijeninin dördünü de bulur, NERVE 2.0 yalnız PorA'yı bulur.</w:t>
      </w:r>
      <w:r>
        <w:rPr>
          <w:b w:val="0"/>
          <w:i w:val="0"/>
          <w:sz w:val="24"/>
        </w:rPr>
        <w:t xml:space="preserve"> Dört 4CMenB antijeni için antijen-araç geri getirme matrisi; dolu hücreler bulunan antijenleri, kırmızı hücreler NERVE 2.0 seçim adımınca elenenleri gösterir. Recall ve aday sayıları varsayılan parametrelerle özdeş girdi üzerinde hesaplandı.</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Şekil 2. Bilinen antijenlerdeki recall, araçları AUC'den daha net ayırır.</w:t>
      </w:r>
      <w:r>
        <w:rPr>
          <w:b w:val="0"/>
          <w:i w:val="0"/>
          <w:sz w:val="24"/>
        </w:rPr>
        <w:t xml:space="preserve"> Dört meningokok antijeninin araç-başına recall'ı, ikincil AUC ek notuyla; AUC küçük-örneklem uyarısı taşır ve başlık ölçüt olarak kullanılmaz (n = 4 pozitif).</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Şekil 3. Yüksek fold-zenginleşme recall'ı değil seçiciliği izler.</w:t>
      </w:r>
      <w:r>
        <w:rPr>
          <w:b w:val="0"/>
          <w:i w:val="0"/>
          <w:sz w:val="24"/>
        </w:rPr>
        <w:t xml:space="preserve"> Üç araç için 204-protein setinde (dolu noktalar) ve tam proteomda (içi boş noktalar) fold-zenginleşmeye karşı recall; kesikli çizgi yayınlanmış NERVE 2.0 fold değeri 16,6'yı gösterir. NERVE 2.0 yüksek fold ve düşük recall'da, VaxForge ile Vaxign-ML ise tam recall ve orta fold'da yer alır.</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Şekil 4. Konak seçimi kuduz glikoprotein G epitop repertuarını yeniden biçimlendirir.</w:t>
      </w:r>
      <w:r>
        <w:rPr>
          <w:b w:val="0"/>
          <w:i w:val="0"/>
          <w:sz w:val="24"/>
        </w:rPr>
        <w:t xml:space="preserve"> İnsan, sığır, fare ve domuz arasında glikoprotein G sınıf I epitoplarının ikili Jaccard örtüşmesi; birin altındaki değerler öngörülen repertuarın seçilen konağa bağlı olduğunu gösterir.</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Şekil 5. Recall kalıbı üç genom ölçeğinde de sürer.</w:t>
      </w:r>
      <w:r>
        <w:rPr>
          <w:b w:val="0"/>
          <w:i w:val="0"/>
          <w:sz w:val="24"/>
        </w:rPr>
        <w:t xml:space="preserve">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antijendeki recall'ı, AUC ek notuyla; VaxForge toplam 14/15, Vaxign-ML 15/15 ve NERVE 2.0 9/15.</w:t>
      </w:r>
    </w:p>
    <w:p>
      <w:r>
        <w:rPr>
          <w:b w:val="0"/>
          <w:i w:val="0"/>
          <w:sz w:val="24"/>
        </w:rPr>
        <w:t>Not: şekil panelleri şu an Türkçe eksen ve başlık metni taşıyor; hedef dergi isterse `make_figures.py`'den İngilizce etiketli sürümler üretilebilir.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