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 xml:space="preserve">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four host species, and a characterised multi-epitope construct, and that ends in an in silico immunisation step. We benchmarked VaxForge against two established tools, NERVE 2.0 and Vaxign-ML, under default parameters and identical inputs. On the meningococcal exemplar VaxForge recovered all four licensed 4CMenB antigens, matching Vaxign-ML, where NERVE 2.0 recovered only one. Across nine further zoonotic bacteria run at full proteome scale, spanning genome sizes from 2.0 to 5.5 Mb and forty-four protective antigens, VaxForge recovered 33, below the sequence-only classifier Vaxign-ML (43 of 44) but well ahead of NERVE 2.0 (13 of 44), while placing protective antigens at competitive or higher ranks (for example iron-regulated surface determinant B at rank 4 of 2,889 proteins). VaxForge matched Vaxign-ML on species whose protective antigens are secreted or surface-exposed and fell behind only on two species whose antigens are cytoplasmic proteins that moonlight on the cell surface, which its localisation filter removes by design, an interpretable trade-off rather than an artefact. Applied to three licensed live-attenuated </w:t>
      </w:r>
      <w:r>
        <w:rPr>
          <w:b w:val="0"/>
          <w:i/>
          <w:sz w:val="24"/>
        </w:rPr>
        <w:t>Brucella</w:t>
      </w:r>
      <w:r>
        <w:rPr>
          <w:b w:val="0"/>
          <w:i w:val="0"/>
          <w:sz w:val="24"/>
        </w:rPr>
        <w:t xml:space="preserve"> vaccine strains, VaxForge recovered the same outer-membrane and periplasmic antigens it had found in the virulent reference and missed only the cytoplasmic ribosomal antigen L7/L12 in each, showing that its behaviour is consistent across virulent and attenuated genomes. NERVE 2.0 reached higher fold enrichment but only by discarding surface antigens under its hard selection cascade, returning none for four of the nine species, which shows that fold enrichment alone is misleading. Across ten viruses spanning seven families, VaxForge recovered the protective or patented antigen within the top quartile of candidates for eight, and resolved host-specific epitope repertoires that differed between species in every case (pairwise Jaccard overlap below one, and zero for some host pairs), a dimension the comparators cannot address; on antigen ranking the head-to-head against Vaxign-ML was balanced (four wins each and two ties, NERVE 2.0 being unable to process viruses).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and porcine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ten bacteria and ten viruses, and we report a pipeline validation that surfaced and fixed three scale-dependent defects and a virus-specific antigen-filter defect during the work.</w:t>
      </w:r>
    </w:p>
    <w:p>
      <w:pPr>
        <w:spacing w:before="200"/>
      </w:pPr>
      <w:r>
        <w:rPr>
          <w:b/>
          <w:i w:val="0"/>
          <w:sz w:val="26"/>
        </w:rPr>
        <w:t>Materials and methods</w:t>
      </w:r>
    </w:p>
    <w:p>
      <w:r>
        <w:rPr>
          <w:b/>
          <w:i w:val="0"/>
          <w:sz w:val="24"/>
        </w:rPr>
        <w:t>Candidate discovery and antigen funnel.</w:t>
      </w:r>
      <w:r>
        <w:rPr>
          <w:b w:val="0"/>
          <w:i w:val="0"/>
          <w:sz w:val="24"/>
        </w:rPr>
        <w:t xml:space="preserve"> VaxForge is deterministic and reads every cutoff from a single configuration file, so that no threshold is hard-coded (`config/thresholds.yaml`); input type, whether a proteome, coding sequences or a genome, was detected automatically. Proteins were aligned to the curated virulence factor database VFDB (Liu et al., 2022) with DIAMOND blastp (Buchfink et al., 2021) at an e-value of at most 1 × 10⁻⁵, sequence identity of at least 30% and coverage of at least 50%; this evidence contributed to the candidacy score and was not used as a gate. Subcellular localisation was predicted with PSORTb 3.0 (Yu et al., 2010), with DeepLoc 2.0 (Thumuluri et al., 2022) as a fallback, retaining extracellular, outer-membrane, cell-wall and periplasmic proteins and removing cytoplasmic ones (hard filter). Transmembrane topology was predicted with TMHMM-2.0 (Krogh et al., 2001) and proteins with more than one helix were removed (hard filter). Human homology was assessed with DIAMOND blastp against the human proteome and proteins above 35% identity were excluded for autoimmune safety (hard filter). Signal peptides (SignalP-5.0; Almagro Armenteros et al., 2019, probability ≥ 0.5), antigenicity (IApred; Miles et al., 2025), cross-strain conservation (≥ 80% when multiple strains were supplied) and adhesin probability (≥ 0.51) entered as soft, score-weighted terms. Surviving proteins were ranked by a weighted candidacy score.</w:t>
      </w:r>
    </w:p>
    <w:p>
      <w:r>
        <w:rPr>
          <w:b/>
          <w:i w:val="0"/>
          <w:sz w:val="24"/>
        </w:rPr>
        <w:t>Host-specific epitope prediction.</w:t>
      </w:r>
      <w:r>
        <w:rPr>
          <w:b w:val="0"/>
          <w:i w:val="0"/>
          <w:sz w:val="24"/>
        </w:rPr>
        <w:t xml:space="preserve"> For the selected host, class I binding was predicted with NetMHCpan-4.1 (Reynisson et al., 2020) for peptides of 8 to 11 residues, with strong and weak binders defined at percentile ranks of ≤ 0.5% and ≤ 2%. Antigen processing was added from NetCTL-1.2 as allele-independent proteasomal cleavage and TAP transport (Larsen et al., 2005), and class I immunogenicity from the IEDB model (Calis et al., 2013). Class II binding was predicted with NetMHCIIpan (Reynisson et al., 2020) for 15-mers with a 9-residue core, at percentile ranks of ≤ 2% and ≤ 10%, and helper epitopes were further screened for interferon-γ induction with IFNepitope2 (score ≥ 0.49; Dhall et al., 2024) in human and mouse. Linear B-cell epitopes were predicted with BepiPred-3.0 (Clifford et al., 2022).</w:t>
      </w:r>
    </w:p>
    <w:p>
      <w:r>
        <w:rPr>
          <w:b/>
          <w:i w:val="0"/>
          <w:sz w:val="24"/>
        </w:rPr>
        <w:t>Epitope safety and population coverage.</w:t>
      </w:r>
      <w:r>
        <w:rPr>
          <w:b w:val="0"/>
          <w:i w:val="0"/>
          <w:sz w:val="24"/>
        </w:rPr>
        <w:t xml:space="preserve"> Retained epitopes were required to be non-allergenic, judged by a six-residue identity match to known allergens (FAO/WHO, 2001), and non-toxic, judged by ToxinPred2 with peptides above a machine-learning score of 0.6 removed (Sharma et al., 2022), both as hard filters; epitope self-mimicry to the host proteome, defined as an exact 9-residue match, was flagged softly. Population coverage of the selected epitope set across human HLA alleles was computed with the IEDB population-coverage tool (Bui et al., 2006), with a target of at least 90%.</w:t>
      </w:r>
    </w:p>
    <w:p>
      <w:r>
        <w:rPr>
          <w:b/>
          <w:i w:val="0"/>
          <w:sz w:val="24"/>
        </w:rPr>
        <w:t>Multi-epitope construct and in silico immunisation.</w:t>
      </w:r>
      <w:r>
        <w:rPr>
          <w:b w:val="0"/>
          <w:i w:val="0"/>
          <w:sz w:val="24"/>
        </w:rPr>
        <w:t xml:space="preserve"> The retained epitopes were joined into a single construct with AAY linkers between cytotoxic epitopes and KK linkers around B-cell epitopes (Schubert &amp; Kohlbacher, 2016), GPGPG linkers between helper epitopes (Livingston et al., 2002) and an N-terminal β-defensin adjuvant (Biragyn et al., 2002). Physicochemical properties of the construct were computed with ProtParam (Gasteiger et al., 2005), and the construct was passed to an in silico immunisation module that simulates the antibody and isotype response over time.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nine further species at full proteome scale. The first three were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The remaining six were zoonotic bacteria that all four mammalian hosts can infect, selected to span genome size and cell biology: </w:t>
      </w:r>
      <w:r>
        <w:rPr>
          <w:b w:val="0"/>
          <w:i/>
          <w:sz w:val="24"/>
        </w:rPr>
        <w:t>Coxiella burnetii</w:t>
      </w:r>
      <w:r>
        <w:rPr>
          <w:b w:val="0"/>
          <w:i w:val="0"/>
          <w:sz w:val="24"/>
        </w:rPr>
        <w:t xml:space="preserve"> RSA 493 (UP000002671, 1,812 proteins; obligate intracellular), </w:t>
      </w:r>
      <w:r>
        <w:rPr>
          <w:b w:val="0"/>
          <w:i/>
          <w:sz w:val="24"/>
        </w:rPr>
        <w:t>Streptococcus suis</w:t>
      </w:r>
      <w:r>
        <w:rPr>
          <w:b w:val="0"/>
          <w:i w:val="0"/>
          <w:sz w:val="24"/>
        </w:rPr>
        <w:t xml:space="preserve"> serotype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a spirochaete) and </w:t>
      </w:r>
      <w:r>
        <w:rPr>
          <w:b w:val="0"/>
          <w:i/>
          <w:sz w:val="24"/>
        </w:rPr>
        <w:t>Bacillus anthracis</w:t>
      </w:r>
      <w:r>
        <w:rPr>
          <w:b w:val="0"/>
          <w:i w:val="0"/>
          <w:sz w:val="24"/>
        </w:rPr>
        <w:t xml:space="preserve"> Ames Ancestor (UP000000594, 5,493 proteins, chromosome plus the pXO1 and pXO2 plasmids that carry the toxin and capsule antigens), with four or five protective antigens each. The protective antigens of all nine species, with their evidence and DOIs, are listed in `PROTECTIVE_ANTIGENS.md` and their accessions in `PATHOGEN_ACCESSIONS.md`. The viral arm used ten viruses that all four mammalian hosts naturally infect, across seven families: rabies virus (</w:t>
      </w:r>
      <w:r>
        <w:rPr>
          <w:b w:val="0"/>
          <w:i/>
          <w:sz w:val="24"/>
        </w:rPr>
        <w:t>Lyssavirus rabies</w:t>
      </w:r>
      <w:r>
        <w:rPr>
          <w:b w:val="0"/>
          <w:i w:val="0"/>
          <w:sz w:val="24"/>
        </w:rPr>
        <w:t>; NC_001542, glycoprotein G at NP_056796) and vesicular stomatitis Indiana virus (</w:t>
      </w:r>
      <w:r>
        <w:rPr>
          <w:b w:val="0"/>
          <w:i/>
          <w:sz w:val="24"/>
        </w:rPr>
        <w:t>Vesiculovirus indiana</w:t>
      </w:r>
      <w:r>
        <w:rPr>
          <w:b w:val="0"/>
          <w:i w:val="0"/>
          <w:sz w:val="24"/>
        </w:rPr>
        <w:t>; NC_001560, glycoprotein G) of the Rhabdoviridae; encephalomyocarditis virus (</w:t>
      </w:r>
      <w:r>
        <w:rPr>
          <w:b w:val="0"/>
          <w:i/>
          <w:sz w:val="24"/>
        </w:rPr>
        <w:t>Cardiovirus A</w:t>
      </w:r>
      <w:r>
        <w:rPr>
          <w:b w:val="0"/>
          <w:i w:val="0"/>
          <w:sz w:val="24"/>
        </w:rPr>
        <w:t>; NC_001479, capsid VP1) of the Picornaviridae; Venezuelan equine encephalitis virus (NC_001449, E2) and Getah virus (NC_006558, structural polyprotein carrying E2) of the Togaviridae; Japanese encephalitis virus (NC_001437, envelope E) of the Flaviviridae; Rift Valley fever virus (NC_014397, glycoprotein Gn/Gc) of the Phenuiviridae; mammalian orthoreovirus (σ1 attachment protein) of the Reoviridae; and vaccinia (NC_006998, L1R) and cowpox (NC_003663, L1R ortholog) viruses of the Poxviridae. Each ground-truth antigen carries a protective, licensed or patented vaccine target, with patents and evidence listed in `PATENTED_VACCINES.md`. For the polyprotein and segmented viruses, mature peptides were extracted where annotated, and for the two orthopoxviruses a single RefSeq reference was used with the cowpox L1R identified by orthology to the vaccinia L1R.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 and their roles.</w:t>
      </w:r>
      <w:r>
        <w:rPr>
          <w:b w:val="0"/>
          <w:i w:val="0"/>
          <w:sz w:val="24"/>
        </w:rPr>
        <w:t xml:space="preserve"> VaxForge was compared with the two reverse vaccinology tools that are current, locally installable and most widely used for bacterial antigen prediction, so that the comparison reflects what a user would actually run (Table 1). Vaxign-ML (Ong et al., 2020) is a supervised machine-learning classifier that takes a protein proteome and returns a protegenicity probability for each protein, ranking candidates but producing no epitopes, host information or construct. NERVE 2.0 (Conte et al., 2024) is an end-to-end bacterial reverse vaccinology environment that takes a bacterial proteome and a Gram label and returns a shortlist of candidate proteins after a cascade of hard selection filters, followed by an optional epitope-prediction module that reports linear MHC-I/II binders and population coverage for human HLA supertypes (Conte et al., 2024). VaxForge takes a proteome, coding sequences or a genome, for bacteria or viruses, and returns ranked antigens together with host-specific epitopes, a multi-epitope construct and an in silico immunisation readout. Both comparators were installed locally in containers and run with default parameters on identical input, with no threshold tuning; recall over ground-truth antigens and the antigen ranks were read from each tool's native output.</w:t>
      </w:r>
    </w:p>
    <w:p>
      <w:r>
        <w:rPr>
          <w:b/>
          <w:i w:val="0"/>
          <w:sz w:val="24"/>
        </w:rPr>
        <w:t>Table 1.</w:t>
      </w:r>
      <w:r>
        <w:rPr>
          <w:b w:val="0"/>
          <w:i w:val="0"/>
          <w:sz w:val="24"/>
        </w:rPr>
        <w:t xml:space="preserve"> Inputs, outputs and capabilities of the three compared tools (✓ present, ✗ absent). Comparator capabilities are stated as described in their source publications (NERVE 2.0, Conte et al., 2024; Vaxign-ML, Ong et al.,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Capability</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Input</w:t>
            </w:r>
          </w:p>
        </w:tc>
        <w:tc>
          <w:tcPr>
            <w:tcW w:type="dxa" w:w="2160"/>
          </w:tcPr>
          <w:p>
            <w:pPr>
              <w:spacing w:line="240" w:lineRule="auto"/>
              <w:jc w:val="left"/>
            </w:pPr>
            <w:r/>
            <w:r>
              <w:rPr>
                <w:b w:val="0"/>
                <w:i w:val="0"/>
                <w:sz w:val="22"/>
              </w:rPr>
              <w:t>proteome, CDS or genome (auto-detected)</w:t>
            </w:r>
          </w:p>
        </w:tc>
        <w:tc>
          <w:tcPr>
            <w:tcW w:type="dxa" w:w="2160"/>
          </w:tcPr>
          <w:p>
            <w:pPr>
              <w:spacing w:line="240" w:lineRule="auto"/>
              <w:jc w:val="left"/>
            </w:pPr>
            <w:r/>
            <w:r>
              <w:rPr>
                <w:b w:val="0"/>
                <w:i w:val="0"/>
                <w:sz w:val="22"/>
              </w:rPr>
              <w:t>bacterial proteome + Gram type</w:t>
            </w:r>
          </w:p>
        </w:tc>
        <w:tc>
          <w:tcPr>
            <w:tcW w:type="dxa" w:w="2160"/>
          </w:tcPr>
          <w:p>
            <w:pPr>
              <w:spacing w:line="240" w:lineRule="auto"/>
              <w:jc w:val="left"/>
            </w:pPr>
            <w:r/>
            <w:r>
              <w:rPr>
                <w:b w:val="0"/>
                <w:i w:val="0"/>
                <w:sz w:val="22"/>
              </w:rPr>
              <w:t>bacterial protein proteome</w:t>
            </w:r>
          </w:p>
        </w:tc>
      </w:tr>
      <w:tr>
        <w:tc>
          <w:tcPr>
            <w:tcW w:type="dxa" w:w="2160"/>
          </w:tcPr>
          <w:p>
            <w:pPr>
              <w:spacing w:line="240" w:lineRule="auto"/>
              <w:jc w:val="left"/>
            </w:pPr>
            <w:r/>
            <w:r>
              <w:rPr>
                <w:b w:val="0"/>
                <w:i w:val="0"/>
                <w:sz w:val="22"/>
              </w:rPr>
              <w:t>Supported pathogens</w:t>
            </w:r>
          </w:p>
        </w:tc>
        <w:tc>
          <w:tcPr>
            <w:tcW w:type="dxa" w:w="2160"/>
          </w:tcPr>
          <w:p>
            <w:pPr>
              <w:spacing w:line="240" w:lineRule="auto"/>
              <w:jc w:val="left"/>
            </w:pPr>
            <w:r/>
            <w:r>
              <w:rPr>
                <w:b w:val="0"/>
                <w:i w:val="0"/>
                <w:sz w:val="22"/>
              </w:rPr>
              <w:t>bacteria and viruses</w:t>
            </w:r>
          </w:p>
        </w:tc>
        <w:tc>
          <w:tcPr>
            <w:tcW w:type="dxa" w:w="2160"/>
          </w:tcPr>
          <w:p>
            <w:pPr>
              <w:spacing w:line="240" w:lineRule="auto"/>
              <w:jc w:val="left"/>
            </w:pPr>
            <w:r/>
            <w:r>
              <w:rPr>
                <w:b w:val="0"/>
                <w:i w:val="0"/>
                <w:sz w:val="22"/>
              </w:rPr>
              <w:t>bacteria only</w:t>
            </w:r>
          </w:p>
        </w:tc>
        <w:tc>
          <w:tcPr>
            <w:tcW w:type="dxa" w:w="2160"/>
          </w:tcPr>
          <w:p>
            <w:pPr>
              <w:spacing w:line="240" w:lineRule="auto"/>
              <w:jc w:val="left"/>
            </w:pPr>
            <w:r/>
            <w:r>
              <w:rPr>
                <w:b w:val="0"/>
                <w:i w:val="0"/>
                <w:sz w:val="22"/>
              </w:rPr>
              <w:t>bacteria (viruses not described in publication)</w:t>
            </w:r>
          </w:p>
        </w:tc>
      </w:tr>
      <w:tr>
        <w:tc>
          <w:tcPr>
            <w:tcW w:type="dxa" w:w="2160"/>
          </w:tcPr>
          <w:p>
            <w:pPr>
              <w:spacing w:line="240" w:lineRule="auto"/>
              <w:jc w:val="left"/>
            </w:pPr>
            <w:r/>
            <w:r>
              <w:rPr>
                <w:b w:val="0"/>
                <w:i w:val="0"/>
                <w:sz w:val="22"/>
              </w:rPr>
              <w:t>Approach</w:t>
            </w:r>
          </w:p>
        </w:tc>
        <w:tc>
          <w:tcPr>
            <w:tcW w:type="dxa" w:w="2160"/>
          </w:tcPr>
          <w:p>
            <w:pPr>
              <w:spacing w:line="240" w:lineRule="auto"/>
              <w:jc w:val="left"/>
            </w:pPr>
            <w:r/>
            <w:r>
              <w:rPr>
                <w:b w:val="0"/>
                <w:i w:val="0"/>
                <w:sz w:val="22"/>
              </w:rPr>
              <w:t>rule + ML hybrid funnel with an immunological layer</w:t>
            </w:r>
          </w:p>
        </w:tc>
        <w:tc>
          <w:tcPr>
            <w:tcW w:type="dxa" w:w="2160"/>
          </w:tcPr>
          <w:p>
            <w:pPr>
              <w:spacing w:line="240" w:lineRule="auto"/>
              <w:jc w:val="left"/>
            </w:pPr>
            <w:r/>
            <w:r>
              <w:rPr>
                <w:b w:val="0"/>
                <w:i w:val="0"/>
                <w:sz w:val="22"/>
              </w:rPr>
              <w:t>rule-based modular pipeline with AI modules</w:t>
            </w:r>
          </w:p>
        </w:tc>
        <w:tc>
          <w:tcPr>
            <w:tcW w:type="dxa" w:w="2160"/>
          </w:tcPr>
          <w:p>
            <w:pPr>
              <w:spacing w:line="240" w:lineRule="auto"/>
              <w:jc w:val="left"/>
            </w:pPr>
            <w:r/>
            <w:r>
              <w:rPr>
                <w:b w:val="0"/>
                <w:i w:val="0"/>
                <w:sz w:val="22"/>
              </w:rPr>
              <w:t>supervised ML classifier (XGBoost)</w:t>
            </w:r>
          </w:p>
        </w:tc>
      </w:tr>
      <w:tr>
        <w:tc>
          <w:tcPr>
            <w:tcW w:type="dxa" w:w="2160"/>
          </w:tcPr>
          <w:p>
            <w:pPr>
              <w:spacing w:line="240" w:lineRule="auto"/>
              <w:jc w:val="left"/>
            </w:pPr>
            <w:r/>
            <w:r>
              <w:rPr>
                <w:b w:val="0"/>
                <w:i w:val="0"/>
                <w:sz w:val="22"/>
              </w:rPr>
              <w:t>Antigen ranking</w:t>
            </w:r>
          </w:p>
        </w:tc>
        <w:tc>
          <w:tcPr>
            <w:tcW w:type="dxa" w:w="2160"/>
          </w:tcPr>
          <w:p>
            <w:pPr>
              <w:spacing w:line="240" w:lineRule="auto"/>
              <w:jc w:val="left"/>
            </w:pPr>
            <w:r/>
            <w:r>
              <w:rPr>
                <w:b w:val="0"/>
                <w:i w:val="0"/>
                <w:sz w:val="22"/>
              </w:rPr>
              <w:t>✓ weighted candidacy score</w:t>
            </w:r>
          </w:p>
        </w:tc>
        <w:tc>
          <w:tcPr>
            <w:tcW w:type="dxa" w:w="2160"/>
          </w:tcPr>
          <w:p>
            <w:pPr>
              <w:spacing w:line="240" w:lineRule="auto"/>
              <w:jc w:val="left"/>
            </w:pPr>
            <w:r/>
            <w:r>
              <w:rPr>
                <w:b w:val="0"/>
                <w:i w:val="0"/>
                <w:sz w:val="22"/>
              </w:rPr>
              <w:t>✓ Select + score</w:t>
            </w:r>
          </w:p>
        </w:tc>
        <w:tc>
          <w:tcPr>
            <w:tcW w:type="dxa" w:w="2160"/>
          </w:tcPr>
          <w:p>
            <w:pPr>
              <w:spacing w:line="240" w:lineRule="auto"/>
              <w:jc w:val="left"/>
            </w:pPr>
            <w:r/>
            <w:r>
              <w:rPr>
                <w:b w:val="0"/>
                <w:i w:val="0"/>
                <w:sz w:val="22"/>
              </w:rPr>
              <w:t>✓ protegenicity score</w:t>
            </w:r>
          </w:p>
        </w:tc>
      </w:tr>
      <w:tr>
        <w:tc>
          <w:tcPr>
            <w:tcW w:type="dxa" w:w="2160"/>
          </w:tcPr>
          <w:p>
            <w:pPr>
              <w:spacing w:line="240" w:lineRule="auto"/>
              <w:jc w:val="left"/>
            </w:pPr>
            <w:r/>
            <w:r>
              <w:rPr>
                <w:b w:val="0"/>
                <w:i w:val="0"/>
                <w:sz w:val="22"/>
              </w:rPr>
              <w:t>Autoimmunity (host-homology) filter</w:t>
            </w:r>
          </w:p>
        </w:tc>
        <w:tc>
          <w:tcPr>
            <w:tcW w:type="dxa" w:w="2160"/>
          </w:tcPr>
          <w:p>
            <w:pPr>
              <w:spacing w:line="240" w:lineRule="auto"/>
              <w:jc w:val="left"/>
            </w:pPr>
            <w:r/>
            <w:r>
              <w:rPr>
                <w:b w:val="0"/>
                <w:i w:val="0"/>
                <w:sz w:val="22"/>
              </w:rPr>
              <w:t>✓ human, mandatory</w:t>
            </w:r>
          </w:p>
        </w:tc>
        <w:tc>
          <w:tcPr>
            <w:tcW w:type="dxa" w:w="2160"/>
          </w:tcPr>
          <w:p>
            <w:pPr>
              <w:spacing w:line="240" w:lineRule="auto"/>
              <w:jc w:val="left"/>
            </w:pPr>
            <w:r/>
            <w:r>
              <w:rPr>
                <w:b w:val="0"/>
                <w:i w:val="0"/>
                <w:sz w:val="22"/>
              </w:rPr>
              <w:t>✓ human + optional mouse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Retains virulence-negative antigens</w:t>
            </w:r>
          </w:p>
        </w:tc>
        <w:tc>
          <w:tcPr>
            <w:tcW w:type="dxa" w:w="2160"/>
          </w:tcPr>
          <w:p>
            <w:pPr>
              <w:spacing w:line="240" w:lineRule="auto"/>
              <w:jc w:val="left"/>
            </w:pPr>
            <w:r/>
            <w:r>
              <w:rPr>
                <w:b w:val="0"/>
                <w:i w:val="0"/>
                <w:sz w:val="22"/>
              </w:rPr>
              <w:t>✓ soft funnel</w:t>
            </w:r>
          </w:p>
        </w:tc>
        <w:tc>
          <w:tcPr>
            <w:tcW w:type="dxa" w:w="2160"/>
          </w:tcPr>
          <w:p>
            <w:pPr>
              <w:spacing w:line="240" w:lineRule="auto"/>
              <w:jc w:val="left"/>
            </w:pPr>
            <w:r/>
            <w:r>
              <w:rPr>
                <w:b w:val="0"/>
                <w:i w:val="0"/>
                <w:sz w:val="22"/>
              </w:rPr>
              <w:t>✗ hard Select removes them</w:t>
            </w:r>
          </w:p>
        </w:tc>
        <w:tc>
          <w:tcPr>
            <w:tcW w:type="dxa" w:w="2160"/>
          </w:tcPr>
          <w:p>
            <w:pPr>
              <w:spacing w:line="240" w:lineRule="auto"/>
              <w:jc w:val="left"/>
            </w:pPr>
            <w:r/>
            <w:r>
              <w:rPr>
                <w:b w:val="0"/>
                <w:i w:val="0"/>
                <w:sz w:val="22"/>
              </w:rPr>
              <w:t>✓ score-based</w:t>
            </w:r>
          </w:p>
        </w:tc>
      </w:tr>
      <w:tr>
        <w:tc>
          <w:tcPr>
            <w:tcW w:type="dxa" w:w="2160"/>
          </w:tcPr>
          <w:p>
            <w:pPr>
              <w:spacing w:line="240" w:lineRule="auto"/>
              <w:jc w:val="left"/>
            </w:pPr>
            <w:r/>
            <w:r>
              <w:rPr>
                <w:b w:val="0"/>
                <w:i w:val="0"/>
                <w:sz w:val="22"/>
              </w:rPr>
              <w:t>T-cell / MHC epitope prediction</w:t>
            </w:r>
          </w:p>
        </w:tc>
        <w:tc>
          <w:tcPr>
            <w:tcW w:type="dxa" w:w="2160"/>
          </w:tcPr>
          <w:p>
            <w:pPr>
              <w:spacing w:line="240" w:lineRule="auto"/>
              <w:jc w:val="left"/>
            </w:pPr>
            <w:r/>
            <w:r>
              <w:rPr>
                <w:b w:val="0"/>
                <w:i w:val="0"/>
                <w:sz w:val="22"/>
              </w:rPr>
              <w:t>✓ NetMHCpan/II + processing + immunogenicity</w:t>
            </w:r>
          </w:p>
        </w:tc>
        <w:tc>
          <w:tcPr>
            <w:tcW w:type="dxa" w:w="2160"/>
          </w:tcPr>
          <w:p>
            <w:pPr>
              <w:spacing w:line="240" w:lineRule="auto"/>
              <w:jc w:val="left"/>
            </w:pPr>
            <w:r/>
            <w:r>
              <w:rPr>
                <w:b w:val="0"/>
                <w:i w:val="0"/>
                <w:sz w:val="22"/>
              </w:rPr>
              <w:t>✓ MHC-I/II, linear, human HLA supertypes</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B-cell epitope prediction</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Host-specific MHC allele selection</w:t>
            </w:r>
          </w:p>
        </w:tc>
        <w:tc>
          <w:tcPr>
            <w:tcW w:type="dxa" w:w="2160"/>
          </w:tcPr>
          <w:p>
            <w:pPr>
              <w:spacing w:line="240" w:lineRule="auto"/>
              <w:jc w:val="left"/>
            </w:pPr>
            <w:r/>
            <w:r>
              <w:rPr>
                <w:b w:val="0"/>
                <w:i w:val="0"/>
                <w:sz w:val="22"/>
              </w:rPr>
              <w:t>✓ human/mouse/cattle/pig</w:t>
            </w:r>
          </w:p>
        </w:tc>
        <w:tc>
          <w:tcPr>
            <w:tcW w:type="dxa" w:w="2160"/>
          </w:tcPr>
          <w:p>
            <w:pPr>
              <w:spacing w:line="240" w:lineRule="auto"/>
              <w:jc w:val="left"/>
            </w:pPr>
            <w:r/>
            <w:r>
              <w:rPr>
                <w:b w:val="0"/>
                <w:i w:val="0"/>
                <w:sz w:val="22"/>
              </w:rPr>
              <w:t>partial (epitopes human HLA only; mouse for safety)</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Population coverage</w:t>
            </w:r>
          </w:p>
        </w:tc>
        <w:tc>
          <w:tcPr>
            <w:tcW w:type="dxa" w:w="2160"/>
          </w:tcPr>
          <w:p>
            <w:pPr>
              <w:spacing w:line="240" w:lineRule="auto"/>
              <w:jc w:val="left"/>
            </w:pPr>
            <w:r/>
            <w:r>
              <w:rPr>
                <w:b w:val="0"/>
                <w:i w:val="0"/>
                <w:sz w:val="22"/>
              </w:rPr>
              <w:t>✓ human HLA (other hosts reported "no data")</w:t>
            </w:r>
          </w:p>
        </w:tc>
        <w:tc>
          <w:tcPr>
            <w:tcW w:type="dxa" w:w="2160"/>
          </w:tcPr>
          <w:p>
            <w:pPr>
              <w:spacing w:line="240" w:lineRule="auto"/>
              <w:jc w:val="left"/>
            </w:pPr>
            <w:r/>
            <w:r>
              <w:rPr>
                <w:b w:val="0"/>
                <w:i w:val="0"/>
                <w:sz w:val="22"/>
              </w:rPr>
              <w:t>✓ human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Multi-epitope construct</w:t>
            </w:r>
          </w:p>
        </w:tc>
        <w:tc>
          <w:tcPr>
            <w:tcW w:type="dxa" w:w="2160"/>
          </w:tcPr>
          <w:p>
            <w:pPr>
              <w:spacing w:line="240" w:lineRule="auto"/>
              <w:jc w:val="left"/>
            </w:pPr>
            <w:r/>
            <w:r>
              <w:rPr>
                <w:b w:val="0"/>
                <w:i w:val="0"/>
                <w:sz w:val="22"/>
              </w:rPr>
              <w:t>✓ linkers + adjuvant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immunisation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Primary output</w:t>
            </w:r>
          </w:p>
        </w:tc>
        <w:tc>
          <w:tcPr>
            <w:tcW w:type="dxa" w:w="2160"/>
          </w:tcPr>
          <w:p>
            <w:pPr>
              <w:spacing w:line="240" w:lineRule="auto"/>
              <w:jc w:val="left"/>
            </w:pPr>
            <w:r/>
            <w:r>
              <w:rPr>
                <w:b w:val="0"/>
                <w:i w:val="0"/>
                <w:sz w:val="22"/>
              </w:rPr>
              <w:t>ranked antigens + host-specific epitopes + construct + immunisation</w:t>
            </w:r>
          </w:p>
        </w:tc>
        <w:tc>
          <w:tcPr>
            <w:tcW w:type="dxa" w:w="2160"/>
          </w:tcPr>
          <w:p>
            <w:pPr>
              <w:spacing w:line="240" w:lineRule="auto"/>
              <w:jc w:val="left"/>
            </w:pPr>
            <w:r/>
            <w:r>
              <w:rPr>
                <w:b w:val="0"/>
                <w:i w:val="0"/>
                <w:sz w:val="22"/>
              </w:rPr>
              <w:t>PVC shortlist + T-cell epitopes / population coverage</w:t>
            </w:r>
          </w:p>
        </w:tc>
        <w:tc>
          <w:tcPr>
            <w:tcW w:type="dxa" w:w="2160"/>
          </w:tcPr>
          <w:p>
            <w:pPr>
              <w:spacing w:line="240" w:lineRule="auto"/>
              <w:jc w:val="left"/>
            </w:pPr>
            <w:r/>
            <w:r>
              <w:rPr>
                <w:b w:val="0"/>
                <w:i w:val="0"/>
                <w:sz w:val="22"/>
              </w:rPr>
              <w:t>protegenicity score per protein</w:t>
            </w:r>
          </w:p>
        </w:tc>
      </w:tr>
    </w:tbl>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three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A third defect appeared only at the largest proteomes: the parallel class I workers shared one scratch directory, so concurrent NetMHCpan instances could deadlock on each other and stall a run indefinitely, which was resolved by giving each worker an isolated temporary directory and a bounded per-chunk timeout. Control experiments confirmed that the toxicity and allergenicity filters were not responsible, and the affected species were re-run after the fixes.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then enter the immunological layer, which is the core of the pipeline. NetMHCpan and NetMHCIIpan (Reynisson et al., 2020) score class I and class II binding for the alleles of the chosen host, so that a T-cell epitope is only kept if it is presented in the intended species. Three further predictors refine the T-cell readout: class I immunogenicity (Calis et al., 2013), proteasomal cleavage together with TAP transport for antigen processing (Larsen et al., 2005), and, for antibody targets, linear B-cell epitopes from BepiPred-3.0 (Clifford et al., 2022). For the selected epitopes VaxForge estimates population coverage across human HLA alleles, and it reports that value as unavailable, rather than imputed, for hosts where allele-frequency data do not exist. The retained epitopes are assembled into a multi-epitope construct with defined linkers (AAY between cytotoxic epitopes, GPGPG between helper epitopes and KK for B-cell epitopes) and an adjuvant, and the construct passes to an in silico immunisation step that simulates the antibody and isotype response over time. Every method is reported with its citation, so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2;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i w:val="0"/>
          <w:sz w:val="24"/>
        </w:rPr>
        <w:t>Table 2.</w:t>
      </w:r>
      <w:r>
        <w:rPr>
          <w:b w:val="0"/>
          <w:i w:val="0"/>
          <w:sz w:val="24"/>
        </w:rPr>
        <w:t xml:space="preserve">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Figure 1.</w:t>
      </w:r>
      <w:r>
        <w:rPr>
          <w:b w:val="0"/>
          <w:i w:val="0"/>
          <w:sz w:val="24"/>
        </w:rPr>
        <w:t xml:space="preserve"> VaxForge and Vaxign-ML recover all four licensed meningococcal antigens, whereas NERVE 2.0 recovers only PorA. Each point is one tool's result for one antigen, and colour identifies the tool (legend, top right). The number beside each point is that antigen's rank in the tool's candidate list, meaning its position from the top (1 is first, and a lower number is better). A cross in the "not recovered" column marks an antigen the tool did not return at all. Ranks and recall were computed under default parameters on identical input.</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Figure 2.</w:t>
      </w:r>
      <w:r>
        <w:rPr>
          <w:b w:val="0"/>
          <w:i w:val="0"/>
          <w:sz w:val="24"/>
        </w:rPr>
        <w:t xml:space="preserve"> Recall over known antigens separates the tools more clearly than area-under-curve. Per-tool recall of the four meningococcal antigens with secondary AUC annotation; AUC carries a small-sample caveat and is not used as the headline metric (n = 4 positives).</w:t>
      </w:r>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Figure 3.</w:t>
      </w:r>
      <w:r>
        <w:rPr>
          <w:b w:val="0"/>
          <w:i w:val="0"/>
          <w:sz w:val="24"/>
        </w:rPr>
        <w:t xml:space="preserve"> High fold enrichment does not imply high recall. Each bar is the fold enrichment of the known protective antigens in one tool's candidate list, that is, how many times more concentrated the known antigens are among the candidates than expected by chance. The label above each bar is that run's recall, the count of known antigens the tool actually recovered out of the total (4/4 means all four were recovered, 1/4 only one). The dashed line marks the published NERVE 2.0 fold value of 16.6. NERVE 2.0 reaches the highest fold with the lowest recall.</w:t>
      </w:r>
    </w:p>
    <w:p>
      <w:r>
        <w:rPr>
          <w:b/>
          <w:i w:val="0"/>
          <w:sz w:val="24"/>
        </w:rPr>
        <w:t>The pattern generalises across nine bacteria and genome scale, with an honest limit on non-classical antigens.</w:t>
      </w:r>
      <w:r>
        <w:rPr>
          <w:b w:val="0"/>
          <w:i w:val="0"/>
          <w:sz w:val="24"/>
        </w:rPr>
        <w:t xml:space="preserve"> To move well beyond a single exemplar we ran nine zoonotic bacteria at full proteome scale, each a natural pathogen of all four mammalian hosts, chosen to span genome size from 2.0 to 5.5 Mb and to balance Gram type and cell biology, from the obligate intracellular </w:t>
      </w:r>
      <w:r>
        <w:rPr>
          <w:b w:val="0"/>
          <w:i/>
          <w:sz w:val="24"/>
        </w:rPr>
        <w:t>Coxiella burnetii</w:t>
      </w:r>
      <w:r>
        <w:rPr>
          <w:b w:val="0"/>
          <w:i w:val="0"/>
          <w:sz w:val="24"/>
        </w:rPr>
        <w:t xml:space="preserve">, through the spirochaete </w:t>
      </w:r>
      <w:r>
        <w:rPr>
          <w:b w:val="0"/>
          <w:i/>
          <w:sz w:val="24"/>
        </w:rPr>
        <w:t>Leptospira interrogans</w:t>
      </w:r>
      <w:r>
        <w:rPr>
          <w:b w:val="0"/>
          <w:i w:val="0"/>
          <w:sz w:val="24"/>
        </w:rPr>
        <w:t xml:space="preserve">, to the plasmid-encoded toxins of </w:t>
      </w:r>
      <w:r>
        <w:rPr>
          <w:b w:val="0"/>
          <w:i/>
          <w:sz w:val="24"/>
        </w:rPr>
        <w:t>Bacillus anthracis</w:t>
      </w:r>
      <w:r>
        <w:rPr>
          <w:b w:val="0"/>
          <w:i w:val="0"/>
          <w:sz w:val="24"/>
        </w:rPr>
        <w:t xml:space="preserve"> (Table 3). Across the forty-four protective antigens of these nine species VaxForge recovered 33 (Figure 4), below the sequence-only classifier Vaxign-ML, which recovered 43, and well ahead of NERVE 2.0, which recovered 13. VaxForge reached 4 of 5 or 5 of 5 on seven of the nine species, including </w:t>
      </w:r>
      <w:r>
        <w:rPr>
          <w:b w:val="0"/>
          <w:i/>
          <w:sz w:val="24"/>
        </w:rPr>
        <w:t>Staphylococcus aureus</w:t>
      </w:r>
      <w:r>
        <w:rPr>
          <w:b w:val="0"/>
          <w:i w:val="0"/>
          <w:sz w:val="24"/>
        </w:rPr>
        <w:t xml:space="preserve"> (iron-regulated surface determinant B at rank 4 of 2,889), </w:t>
      </w:r>
      <w:r>
        <w:rPr>
          <w:b w:val="0"/>
          <w:i/>
          <w:sz w:val="24"/>
        </w:rPr>
        <w:t>Salmonella enterica</w:t>
      </w:r>
      <w:r>
        <w:rPr>
          <w:b w:val="0"/>
          <w:i w:val="0"/>
          <w:sz w:val="24"/>
        </w:rPr>
        <w:t xml:space="preserve"> serovar Typhimurium (5 of 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Leptospira interrogans</w:t>
      </w:r>
      <w:r>
        <w:rPr>
          <w:b w:val="0"/>
          <w:i w:val="0"/>
          <w:sz w:val="24"/>
        </w:rPr>
        <w:t xml:space="preserve"> and </w:t>
      </w:r>
      <w:r>
        <w:rPr>
          <w:b w:val="0"/>
          <w:i/>
          <w:sz w:val="24"/>
        </w:rPr>
        <w:t>Bacillus anthracis</w:t>
      </w:r>
      <w:r>
        <w:rPr>
          <w:b w:val="0"/>
          <w:i w:val="0"/>
          <w:sz w:val="24"/>
        </w:rPr>
        <w:t xml:space="preserve">, for which the anthrax protective antigen was among those recovered. NERVE 2.0 again discarded surface antigens under its hard selection cascade, returning none of the protective antigens for four of the nine species, even where, as on </w:t>
      </w:r>
      <w:r>
        <w:rPr>
          <w:b w:val="0"/>
          <w:i/>
          <w:sz w:val="24"/>
        </w:rPr>
        <w:t>B. suis</w:t>
      </w:r>
      <w:r>
        <w:rPr>
          <w:b w:val="0"/>
          <w:i w:val="0"/>
          <w:sz w:val="24"/>
        </w:rPr>
        <w:t xml:space="preserve"> and </w:t>
      </w:r>
      <w:r>
        <w:rPr>
          <w:b w:val="0"/>
          <w:i/>
          <w:sz w:val="24"/>
        </w:rPr>
        <w:t>B. anthracis</w:t>
      </w:r>
      <w:r>
        <w:rPr>
          <w:b w:val="0"/>
          <w:i w:val="0"/>
          <w:sz w:val="24"/>
        </w:rPr>
        <w:t>, it reached the highest fold enrichment of any tool.</w:t>
      </w:r>
    </w:p>
    <w:p>
      <w:r>
        <w:rPr>
          <w:b w:val="0"/>
          <w:i w:val="0"/>
          <w:sz w:val="24"/>
        </w:rPr>
        <w:t xml:space="preserve">The two species where VaxForge fell behind, </w:t>
      </w:r>
      <w:r>
        <w:rPr>
          <w:b w:val="0"/>
          <w:i/>
          <w:sz w:val="24"/>
        </w:rPr>
        <w:t>Coxiella burnetii</w:t>
      </w:r>
      <w:r>
        <w:rPr>
          <w:b w:val="0"/>
          <w:i w:val="0"/>
          <w:sz w:val="24"/>
        </w:rPr>
        <w:t xml:space="preserve"> (2 of 4) and </w:t>
      </w:r>
      <w:r>
        <w:rPr>
          <w:b w:val="0"/>
          <w:i/>
          <w:sz w:val="24"/>
        </w:rPr>
        <w:t>Streptococcus suis</w:t>
      </w:r>
      <w:r>
        <w:rPr>
          <w:b w:val="0"/>
          <w:i w:val="0"/>
          <w:sz w:val="24"/>
        </w:rPr>
        <w:t xml:space="preserve"> (1 of 5), expose a real and interpretable limit rather than a defect. The antigens it missed there, glyceraldehyde-3-phosphate dehydrogenase, enolase, 6-phosphogluconate dehydrogenase and the DnaJ and GroEL chaperones, are classically cytoplasmic proteins that moonlight on the cell surface. VaxForge removes them at its localisation hard filter by design, whereas Vaxign-ML, which scores sequence directly with no localisation gate, retains them. The behaviour is therefore a deliberate trade-off: the localisation filter suppresses cytoplasmic false positives at whole-proteome scale but also excludes non-classical surface antigens, and a user targeting a moonlighting antigen would relax that filter. On the species where both tools reached full recall VaxForge placed the protective antigens at competitive or higher ranks, and its single miss on </w:t>
      </w:r>
      <w:r>
        <w:rPr>
          <w:b w:val="0"/>
          <w:i/>
          <w:sz w:val="24"/>
        </w:rPr>
        <w:t>L. monocytogenes</w:t>
      </w:r>
      <w:r>
        <w:rPr>
          <w:b w:val="0"/>
          <w:i w:val="0"/>
          <w:sz w:val="24"/>
        </w:rPr>
        <w:t>, ActA, also ranked at the bottom of the Vaxign-ML list, so it reflects a hard target rather than a pipeline fault. During these full-proteome runs we identified and corrected three scale-dependent engineering defects that had artefactually lowered VaxForge recall in first-pass runs; the localisation and class I steps each collapsed under a single oversized batch, and at the largest scale the parallel class I workers could deadlock on a shared scratch directory, all three now repartitioned into bounded, isolated sub-batches (`MANUSCRIPT_METHODS.md`, section B). Control experiments confirmed that the toxicity and allergenicity filters were not responsible.</w:t>
      </w:r>
    </w:p>
    <w:p>
      <w:r>
        <w:rPr>
          <w:b/>
          <w:i w:val="0"/>
          <w:sz w:val="24"/>
        </w:rPr>
        <w:t>Table 3.</w:t>
      </w:r>
      <w:r>
        <w:rPr>
          <w:b w:val="0"/>
          <w:i w:val="0"/>
          <w:sz w:val="24"/>
        </w:rPr>
        <w:t xml:space="preserve"> Nine-bacterium head-to-head at full proteome scale (default parameters, identical input), ordered by genome size. Each species carries four or five protective antigens.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 proteins)</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Figure 4.</w:t>
      </w:r>
      <w:r>
        <w:rPr>
          <w:b w:val="0"/>
          <w:i w:val="0"/>
          <w:sz w:val="24"/>
        </w:rPr>
        <w:t xml:space="preserve"> The recall pattern across ten bacteria at full proteome scale, ordered by genome size. Recall over the known protective antigens for each tool, shown as a fraction with the recovered-of-total count above each bar because the antigen count differs between species; the meningococcal exemplar is included alongside the nine generalisation species and an asterisk marks the six zoonotic bacteria added in this work. VaxForge matches Vaxign-ML on species whose protective antigens are secreted or surface-exposed and falls behind only on </w:t>
      </w:r>
      <w:r>
        <w:rPr>
          <w:b w:val="0"/>
          <w:i/>
          <w:sz w:val="24"/>
        </w:rPr>
        <w:t>C. burnetii</w:t>
      </w:r>
      <w:r>
        <w:rPr>
          <w:b w:val="0"/>
          <w:i w:val="0"/>
          <w:sz w:val="24"/>
        </w:rPr>
        <w:t xml:space="preserve"> and </w:t>
      </w:r>
      <w:r>
        <w:rPr>
          <w:b w:val="0"/>
          <w:i/>
          <w:sz w:val="24"/>
        </w:rPr>
        <w:t>S. suis</w:t>
      </w:r>
      <w:r>
        <w:rPr>
          <w:b w:val="0"/>
          <w:i w:val="0"/>
          <w:sz w:val="24"/>
        </w:rPr>
        <w:t>, whose missed antigens are cytoplasmic moonlighting proteins that the localisation filter removes by design; NERVE 2.0 recovers none of the antigens for four species.</w:t>
      </w:r>
    </w:p>
    <w:p>
      <w:r>
        <w:rPr>
          <w:b/>
          <w:i w:val="0"/>
          <w:sz w:val="24"/>
        </w:rPr>
        <w:t>Table S1.</w:t>
      </w:r>
      <w:r>
        <w:rPr>
          <w:b w:val="0"/>
          <w:i w:val="0"/>
          <w:sz w:val="24"/>
        </w:rPr>
        <w:t xml:space="preserve"> The ground-truth protective antigens, by species, with accession, licensure status and the verified evidence for protective or candidate status (full evidence and DOIs in `PROTECTIVE_ANTIGENS.md`). Status: </w:t>
      </w:r>
      <w:r>
        <w:rPr>
          <w:b w:val="0"/>
          <w:i/>
          <w:sz w:val="24"/>
        </w:rPr>
        <w:t>licensed</w:t>
      </w:r>
      <w:r>
        <w:rPr>
          <w:b w:val="0"/>
          <w:i w:val="0"/>
          <w:sz w:val="24"/>
        </w:rPr>
        <w:t xml:space="preserve"> = component of an approved human vaccine; </w:t>
      </w:r>
      <w:r>
        <w:rPr>
          <w:b w:val="0"/>
          <w:i/>
          <w:sz w:val="24"/>
        </w:rPr>
        <w:t>vet-licensed strain</w:t>
      </w:r>
      <w:r>
        <w:rPr>
          <w:b w:val="0"/>
          <w:i w:val="0"/>
          <w:sz w:val="24"/>
        </w:rPr>
        <w:t xml:space="preserve"> = genus has approved live/whole-cell veterinary vaccines while the subunit here is a candidate; </w:t>
      </w:r>
      <w:r>
        <w:rPr>
          <w:b w:val="0"/>
          <w:i/>
          <w:sz w:val="24"/>
        </w:rPr>
        <w:t>clinical/preclinical candidate</w:t>
      </w:r>
      <w:r>
        <w:rPr>
          <w:b w:val="0"/>
          <w:i w:val="0"/>
          <w:sz w:val="24"/>
        </w:rPr>
        <w:t xml:space="preserve"> = experimental protective or immunodominant antigen.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jc w:val="left"/>
            </w:pPr>
            <w:r/>
            <w:r>
              <w:rPr>
                <w:b/>
                <w:i w:val="0"/>
                <w:sz w:val="22"/>
              </w:rPr>
              <w:t>Species</w:t>
            </w:r>
          </w:p>
        </w:tc>
        <w:tc>
          <w:tcPr>
            <w:tcW w:type="dxa" w:w="1080"/>
          </w:tcPr>
          <w:p>
            <w:pPr>
              <w:spacing w:line="240" w:lineRule="auto"/>
              <w:jc w:val="left"/>
            </w:pPr>
            <w:r/>
            <w:r>
              <w:rPr>
                <w:b/>
                <w:i w:val="0"/>
                <w:sz w:val="22"/>
              </w:rPr>
              <w:t>Antigen (gene)</w:t>
            </w:r>
          </w:p>
        </w:tc>
        <w:tc>
          <w:tcPr>
            <w:tcW w:type="dxa" w:w="1080"/>
          </w:tcPr>
          <w:p>
            <w:pPr>
              <w:spacing w:line="240" w:lineRule="auto"/>
              <w:jc w:val="left"/>
            </w:pPr>
            <w:r/>
            <w:r>
              <w:rPr>
                <w:b/>
                <w:i w:val="0"/>
                <w:sz w:val="22"/>
              </w:rPr>
              <w:t>Accession</w:t>
            </w:r>
          </w:p>
        </w:tc>
        <w:tc>
          <w:tcPr>
            <w:tcW w:type="dxa" w:w="1080"/>
          </w:tcPr>
          <w:p>
            <w:pPr>
              <w:spacing w:line="240" w:lineRule="auto"/>
              <w:jc w:val="left"/>
            </w:pPr>
            <w:r/>
            <w:r>
              <w:rPr>
                <w:b/>
                <w:i w:val="0"/>
                <w:sz w:val="22"/>
              </w:rPr>
              <w:t>Status</w:t>
            </w:r>
          </w:p>
        </w:tc>
        <w:tc>
          <w:tcPr>
            <w:tcW w:type="dxa" w:w="1080"/>
          </w:tcPr>
          <w:p>
            <w:pPr>
              <w:spacing w:line="240" w:lineRule="auto"/>
              <w:jc w:val="left"/>
            </w:pPr>
            <w:r/>
            <w:r>
              <w:rPr>
                <w:b/>
                <w:i w:val="0"/>
                <w:sz w:val="22"/>
              </w:rPr>
              <w:t>VaxForge</w:t>
            </w:r>
          </w:p>
        </w:tc>
        <w:tc>
          <w:tcPr>
            <w:tcW w:type="dxa" w:w="1080"/>
          </w:tcPr>
          <w:p>
            <w:pPr>
              <w:spacing w:line="240" w:lineRule="auto"/>
              <w:jc w:val="left"/>
            </w:pPr>
            <w:r/>
            <w:r>
              <w:rPr>
                <w:b/>
                <w:i w:val="0"/>
                <w:sz w:val="22"/>
              </w:rPr>
              <w:t>Vaxign-ML</w:t>
            </w:r>
          </w:p>
        </w:tc>
        <w:tc>
          <w:tcPr>
            <w:tcW w:type="dxa" w:w="1080"/>
          </w:tcPr>
          <w:p>
            <w:pPr>
              <w:spacing w:line="240" w:lineRule="auto"/>
              <w:jc w:val="left"/>
            </w:pPr>
            <w:r/>
            <w:r>
              <w:rPr>
                <w:b/>
                <w:i w:val="0"/>
                <w:sz w:val="22"/>
              </w:rPr>
              <w:t>NERVE 2.0</w:t>
            </w:r>
          </w:p>
        </w:tc>
        <w:tc>
          <w:tcPr>
            <w:tcW w:type="dxa" w:w="1080"/>
          </w:tcPr>
          <w:p>
            <w:pPr>
              <w:spacing w:line="240" w:lineRule="auto"/>
              <w:jc w:val="left"/>
            </w:pPr>
            <w:r/>
            <w:r>
              <w:rPr>
                <w:b/>
                <w:i w:val="0"/>
                <w:sz w:val="22"/>
              </w:rPr>
              <w:t>Evidence (DOI)</w:t>
            </w:r>
          </w:p>
        </w:tc>
      </w:tr>
      <w:tr>
        <w:tc>
          <w:tcPr>
            <w:tcW w:type="dxa" w:w="1080"/>
          </w:tcPr>
          <w:p>
            <w:pPr>
              <w:spacing w:line="240" w:lineRule="auto"/>
              <w:jc w:val="left"/>
            </w:pPr>
            <w:r/>
            <w:r>
              <w:rPr>
                <w:b w:val="0"/>
                <w:i w:val="0"/>
                <w:sz w:val="22"/>
              </w:rPr>
              <w:t>N. meningitidis B</w:t>
            </w:r>
          </w:p>
        </w:tc>
        <w:tc>
          <w:tcPr>
            <w:tcW w:type="dxa" w:w="1080"/>
          </w:tcPr>
          <w:p>
            <w:pPr>
              <w:spacing w:line="240" w:lineRule="auto"/>
              <w:jc w:val="left"/>
            </w:pPr>
            <w:r/>
            <w:r>
              <w:rPr>
                <w:b w:val="0"/>
                <w:i w:val="0"/>
                <w:sz w:val="22"/>
              </w:rPr>
              <w:t>fHbp</w:t>
            </w:r>
          </w:p>
        </w:tc>
        <w:tc>
          <w:tcPr>
            <w:tcW w:type="dxa" w:w="1080"/>
          </w:tcPr>
          <w:p>
            <w:pPr>
              <w:spacing w:line="240" w:lineRule="auto"/>
              <w:jc w:val="left"/>
            </w:pPr>
            <w:r/>
            <w:r>
              <w:rPr>
                <w:b w:val="0"/>
                <w:i w:val="0"/>
                <w:sz w:val="22"/>
              </w:rPr>
              <w:t>Q9JXV4</w:t>
            </w:r>
          </w:p>
        </w:tc>
        <w:tc>
          <w:tcPr>
            <w:tcW w:type="dxa" w:w="1080"/>
          </w:tcPr>
          <w:p>
            <w:pPr>
              <w:spacing w:line="240" w:lineRule="auto"/>
              <w:jc w:val="left"/>
            </w:pPr>
            <w:r/>
            <w:r>
              <w:rPr>
                <w:b w:val="0"/>
                <w:i w:val="0"/>
                <w:sz w:val="22"/>
              </w:rPr>
              <w:t>Licensed, 4CMenB (Bexsero)</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NadA</w:t>
            </w:r>
          </w:p>
        </w:tc>
        <w:tc>
          <w:tcPr>
            <w:tcW w:type="dxa" w:w="1080"/>
          </w:tcPr>
          <w:p>
            <w:pPr>
              <w:spacing w:line="240" w:lineRule="auto"/>
              <w:jc w:val="left"/>
            </w:pPr>
            <w:r/>
            <w:r>
              <w:rPr>
                <w:b w:val="0"/>
                <w:i w:val="0"/>
                <w:sz w:val="22"/>
              </w:rPr>
              <w:t>Q9JXK7</w:t>
            </w:r>
          </w:p>
        </w:tc>
        <w:tc>
          <w:tcPr>
            <w:tcW w:type="dxa" w:w="1080"/>
          </w:tcPr>
          <w:p>
            <w:pPr>
              <w:spacing w:line="240" w:lineRule="auto"/>
              <w:jc w:val="left"/>
            </w:pPr>
            <w:r/>
            <w:r>
              <w:rPr>
                <w:b w:val="0"/>
                <w:i w:val="0"/>
                <w:sz w:val="22"/>
              </w:rPr>
              <w:t>Licensed, 4CMenB</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NHBA</w:t>
            </w:r>
          </w:p>
        </w:tc>
        <w:tc>
          <w:tcPr>
            <w:tcW w:type="dxa" w:w="1080"/>
          </w:tcPr>
          <w:p>
            <w:pPr>
              <w:spacing w:line="240" w:lineRule="auto"/>
              <w:jc w:val="left"/>
            </w:pPr>
            <w:r/>
            <w:r>
              <w:rPr>
                <w:b w:val="0"/>
                <w:i w:val="0"/>
                <w:sz w:val="22"/>
              </w:rPr>
              <w:t>Q7DD37</w:t>
            </w:r>
          </w:p>
        </w:tc>
        <w:tc>
          <w:tcPr>
            <w:tcW w:type="dxa" w:w="1080"/>
          </w:tcPr>
          <w:p>
            <w:pPr>
              <w:spacing w:line="240" w:lineRule="auto"/>
              <w:jc w:val="left"/>
            </w:pPr>
            <w:r/>
            <w:r>
              <w:rPr>
                <w:b w:val="0"/>
                <w:i w:val="0"/>
                <w:sz w:val="22"/>
              </w:rPr>
              <w:t>Licensed, 4CMenB</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PorA</w:t>
            </w:r>
          </w:p>
        </w:tc>
        <w:tc>
          <w:tcPr>
            <w:tcW w:type="dxa" w:w="1080"/>
          </w:tcPr>
          <w:p>
            <w:pPr>
              <w:spacing w:line="240" w:lineRule="auto"/>
              <w:jc w:val="left"/>
            </w:pPr>
            <w:r/>
            <w:r>
              <w:rPr>
                <w:b w:val="0"/>
                <w:i w:val="0"/>
                <w:sz w:val="22"/>
              </w:rPr>
              <w:t>P0DH58</w:t>
            </w:r>
          </w:p>
        </w:tc>
        <w:tc>
          <w:tcPr>
            <w:tcW w:type="dxa" w:w="1080"/>
          </w:tcPr>
          <w:p>
            <w:pPr>
              <w:spacing w:line="240" w:lineRule="auto"/>
              <w:jc w:val="left"/>
            </w:pPr>
            <w:r/>
            <w:r>
              <w:rPr>
                <w:b w:val="0"/>
                <w:i w:val="0"/>
                <w:sz w:val="22"/>
              </w:rPr>
              <w:t>Licensed, 4CMenB (OMV)</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Pizza 2000, 10.1126/science.287.5459.1816</w:t>
            </w:r>
          </w:p>
        </w:tc>
      </w:tr>
      <w:tr>
        <w:tc>
          <w:tcPr>
            <w:tcW w:type="dxa" w:w="1080"/>
          </w:tcPr>
          <w:p>
            <w:pPr>
              <w:spacing w:line="240" w:lineRule="auto"/>
              <w:jc w:val="left"/>
            </w:pPr>
            <w:r/>
            <w:r>
              <w:rPr>
                <w:b w:val="0"/>
                <w:i w:val="0"/>
                <w:sz w:val="22"/>
              </w:rPr>
              <w:t>S. aureus</w:t>
            </w:r>
          </w:p>
        </w:tc>
        <w:tc>
          <w:tcPr>
            <w:tcW w:type="dxa" w:w="1080"/>
          </w:tcPr>
          <w:p>
            <w:pPr>
              <w:spacing w:line="240" w:lineRule="auto"/>
              <w:jc w:val="left"/>
            </w:pPr>
            <w:r/>
            <w:r>
              <w:rPr>
                <w:b w:val="0"/>
                <w:i w:val="0"/>
                <w:sz w:val="22"/>
              </w:rPr>
              <w:t>IsdB</w:t>
            </w:r>
          </w:p>
        </w:tc>
        <w:tc>
          <w:tcPr>
            <w:tcW w:type="dxa" w:w="1080"/>
          </w:tcPr>
          <w:p>
            <w:pPr>
              <w:spacing w:line="240" w:lineRule="auto"/>
              <w:jc w:val="left"/>
            </w:pPr>
            <w:r/>
            <w:r>
              <w:rPr>
                <w:b w:val="0"/>
                <w:i w:val="0"/>
                <w:sz w:val="22"/>
              </w:rPr>
              <w:t>Q2FZF0</w:t>
            </w:r>
          </w:p>
        </w:tc>
        <w:tc>
          <w:tcPr>
            <w:tcW w:type="dxa" w:w="1080"/>
          </w:tcPr>
          <w:p>
            <w:pPr>
              <w:spacing w:line="240" w:lineRule="auto"/>
              <w:jc w:val="left"/>
            </w:pPr>
            <w:r/>
            <w:r>
              <w:rPr>
                <w:b w:val="0"/>
                <w:i w:val="0"/>
                <w:sz w:val="22"/>
              </w:rPr>
              <w:t>Clinical candidate (V710)</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#46</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Kuklin 2006, 10.1128/iai.74.4.2215-2223.2006</w:t>
            </w:r>
          </w:p>
        </w:tc>
      </w:tr>
      <w:tr>
        <w:tc>
          <w:tcPr>
            <w:tcW w:type="dxa" w:w="1080"/>
          </w:tcPr>
          <w:p>
            <w:pPr>
              <w:spacing w:line="240" w:lineRule="auto"/>
              <w:jc w:val="left"/>
            </w:pPr>
            <w:r/>
          </w:p>
        </w:tc>
        <w:tc>
          <w:tcPr>
            <w:tcW w:type="dxa" w:w="1080"/>
          </w:tcPr>
          <w:p>
            <w:pPr>
              <w:spacing w:line="240" w:lineRule="auto"/>
              <w:jc w:val="left"/>
            </w:pPr>
            <w:r/>
            <w:r>
              <w:rPr>
                <w:b w:val="0"/>
                <w:i w:val="0"/>
                <w:sz w:val="22"/>
              </w:rPr>
              <w:t>IsdA</w:t>
            </w:r>
          </w:p>
        </w:tc>
        <w:tc>
          <w:tcPr>
            <w:tcW w:type="dxa" w:w="1080"/>
          </w:tcPr>
          <w:p>
            <w:pPr>
              <w:spacing w:line="240" w:lineRule="auto"/>
              <w:jc w:val="left"/>
            </w:pPr>
            <w:r/>
            <w:r>
              <w:rPr>
                <w:b w:val="0"/>
                <w:i w:val="0"/>
                <w:sz w:val="22"/>
              </w:rPr>
              <w:t>Q2FZE9</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#10</w:t>
            </w:r>
          </w:p>
        </w:tc>
        <w:tc>
          <w:tcPr>
            <w:tcW w:type="dxa" w:w="1080"/>
          </w:tcPr>
          <w:p>
            <w:pPr>
              <w:spacing w:line="240" w:lineRule="auto"/>
              <w:jc w:val="left"/>
            </w:pPr>
            <w:r/>
            <w:r>
              <w:rPr>
                <w:b w:val="0"/>
                <w:i w:val="0"/>
                <w:sz w:val="22"/>
              </w:rPr>
              <w:t>#387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Kim 2010, 10.1016/j.vaccine.2010.02.097</w:t>
            </w:r>
          </w:p>
        </w:tc>
      </w:tr>
      <w:tr>
        <w:tc>
          <w:tcPr>
            <w:tcW w:type="dxa" w:w="1080"/>
          </w:tcPr>
          <w:p>
            <w:pPr>
              <w:spacing w:line="240" w:lineRule="auto"/>
              <w:jc w:val="left"/>
            </w:pPr>
            <w:r/>
          </w:p>
        </w:tc>
        <w:tc>
          <w:tcPr>
            <w:tcW w:type="dxa" w:w="1080"/>
          </w:tcPr>
          <w:p>
            <w:pPr>
              <w:spacing w:line="240" w:lineRule="auto"/>
              <w:jc w:val="left"/>
            </w:pPr>
            <w:r/>
            <w:r>
              <w:rPr>
                <w:b w:val="0"/>
                <w:i w:val="0"/>
                <w:sz w:val="22"/>
              </w:rPr>
              <w:t>ClfA</w:t>
            </w:r>
          </w:p>
        </w:tc>
        <w:tc>
          <w:tcPr>
            <w:tcW w:type="dxa" w:w="1080"/>
          </w:tcPr>
          <w:p>
            <w:pPr>
              <w:spacing w:line="240" w:lineRule="auto"/>
              <w:jc w:val="left"/>
            </w:pPr>
            <w:r/>
            <w:r>
              <w:rPr>
                <w:b w:val="0"/>
                <w:i w:val="0"/>
                <w:sz w:val="22"/>
              </w:rPr>
              <w:t>Q2G015</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#23</w:t>
            </w:r>
          </w:p>
        </w:tc>
        <w:tc>
          <w:tcPr>
            <w:tcW w:type="dxa" w:w="1080"/>
          </w:tcPr>
          <w:p>
            <w:pPr>
              <w:spacing w:line="240" w:lineRule="auto"/>
              <w:jc w:val="left"/>
            </w:pPr>
            <w:r/>
            <w:r>
              <w:rPr>
                <w:b w:val="0"/>
                <w:i w:val="0"/>
                <w:sz w:val="22"/>
              </w:rPr>
              <w:t>#248</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Josefsson 2001, 10.1086/324430</w:t>
            </w:r>
          </w:p>
        </w:tc>
      </w:tr>
      <w:tr>
        <w:tc>
          <w:tcPr>
            <w:tcW w:type="dxa" w:w="1080"/>
          </w:tcPr>
          <w:p>
            <w:pPr>
              <w:spacing w:line="240" w:lineRule="auto"/>
              <w:jc w:val="left"/>
            </w:pPr>
            <w:r/>
          </w:p>
        </w:tc>
        <w:tc>
          <w:tcPr>
            <w:tcW w:type="dxa" w:w="1080"/>
          </w:tcPr>
          <w:p>
            <w:pPr>
              <w:spacing w:line="240" w:lineRule="auto"/>
              <w:jc w:val="left"/>
            </w:pPr>
            <w:r/>
            <w:r>
              <w:rPr>
                <w:b w:val="0"/>
                <w:i w:val="0"/>
                <w:sz w:val="22"/>
              </w:rPr>
              <w:t>Hla</w:t>
            </w:r>
          </w:p>
        </w:tc>
        <w:tc>
          <w:tcPr>
            <w:tcW w:type="dxa" w:w="1080"/>
          </w:tcPr>
          <w:p>
            <w:pPr>
              <w:spacing w:line="240" w:lineRule="auto"/>
              <w:jc w:val="left"/>
            </w:pPr>
            <w:r/>
            <w:r>
              <w:rPr>
                <w:b w:val="0"/>
                <w:i w:val="0"/>
                <w:sz w:val="22"/>
              </w:rPr>
              <w:t>Q2G1X0</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#29</w:t>
            </w:r>
          </w:p>
        </w:tc>
        <w:tc>
          <w:tcPr>
            <w:tcW w:type="dxa" w:w="1080"/>
          </w:tcPr>
          <w:p>
            <w:pPr>
              <w:spacing w:line="240" w:lineRule="auto"/>
              <w:jc w:val="left"/>
            </w:pPr>
            <w:r/>
            <w:r>
              <w:rPr>
                <w:b w:val="0"/>
                <w:i w:val="0"/>
                <w:sz w:val="22"/>
              </w:rPr>
              <w:t>#24</w:t>
            </w:r>
          </w:p>
        </w:tc>
        <w:tc>
          <w:tcPr>
            <w:tcW w:type="dxa" w:w="1080"/>
          </w:tcPr>
          <w:p>
            <w:pPr>
              <w:spacing w:line="240" w:lineRule="auto"/>
              <w:jc w:val="left"/>
            </w:pPr>
            <w:r/>
            <w:r>
              <w:rPr>
                <w:b w:val="0"/>
                <w:i w:val="0"/>
                <w:sz w:val="22"/>
              </w:rPr>
              <w:t>Adhikari 2012, 10.1371/journal.pone.0038567</w:t>
            </w:r>
          </w:p>
        </w:tc>
      </w:tr>
      <w:tr>
        <w:tc>
          <w:tcPr>
            <w:tcW w:type="dxa" w:w="1080"/>
          </w:tcPr>
          <w:p>
            <w:pPr>
              <w:spacing w:line="240" w:lineRule="auto"/>
              <w:jc w:val="left"/>
            </w:pPr>
            <w:r/>
          </w:p>
        </w:tc>
        <w:tc>
          <w:tcPr>
            <w:tcW w:type="dxa" w:w="1080"/>
          </w:tcPr>
          <w:p>
            <w:pPr>
              <w:spacing w:line="240" w:lineRule="auto"/>
              <w:jc w:val="left"/>
            </w:pPr>
            <w:r/>
            <w:r>
              <w:rPr>
                <w:b w:val="0"/>
                <w:i w:val="0"/>
                <w:sz w:val="22"/>
              </w:rPr>
              <w:t>SpA</w:t>
            </w:r>
          </w:p>
        </w:tc>
        <w:tc>
          <w:tcPr>
            <w:tcW w:type="dxa" w:w="1080"/>
          </w:tcPr>
          <w:p>
            <w:pPr>
              <w:spacing w:line="240" w:lineRule="auto"/>
              <w:jc w:val="left"/>
            </w:pPr>
            <w:r/>
            <w:r>
              <w:rPr>
                <w:b w:val="0"/>
                <w:i w:val="0"/>
                <w:sz w:val="22"/>
              </w:rPr>
              <w:t>P02976</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#178</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Kim 2010, 10.1084/jem.20092514</w:t>
            </w:r>
          </w:p>
        </w:tc>
      </w:tr>
      <w:tr>
        <w:tc>
          <w:tcPr>
            <w:tcW w:type="dxa" w:w="1080"/>
          </w:tcPr>
          <w:p>
            <w:pPr>
              <w:spacing w:line="240" w:lineRule="auto"/>
              <w:jc w:val="left"/>
            </w:pPr>
            <w:r/>
            <w:r>
              <w:rPr>
                <w:b w:val="0"/>
                <w:i w:val="0"/>
                <w:sz w:val="22"/>
              </w:rPr>
              <w:t>L. monocytogenes</w:t>
            </w:r>
          </w:p>
        </w:tc>
        <w:tc>
          <w:tcPr>
            <w:tcW w:type="dxa" w:w="1080"/>
          </w:tcPr>
          <w:p>
            <w:pPr>
              <w:spacing w:line="240" w:lineRule="auto"/>
              <w:jc w:val="left"/>
            </w:pPr>
            <w:r/>
            <w:r>
              <w:rPr>
                <w:b w:val="0"/>
                <w:i w:val="0"/>
                <w:sz w:val="22"/>
              </w:rPr>
              <w:t>LLO</w:t>
            </w:r>
          </w:p>
        </w:tc>
        <w:tc>
          <w:tcPr>
            <w:tcW w:type="dxa" w:w="1080"/>
          </w:tcPr>
          <w:p>
            <w:pPr>
              <w:spacing w:line="240" w:lineRule="auto"/>
              <w:jc w:val="left"/>
            </w:pPr>
            <w:r/>
            <w:r>
              <w:rPr>
                <w:b w:val="0"/>
                <w:i w:val="0"/>
                <w:sz w:val="22"/>
              </w:rPr>
              <w:t>P13128</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#19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Phelps 2020, 10.1016/j.vaccine.2020.06.049</w:t>
            </w:r>
          </w:p>
        </w:tc>
      </w:tr>
      <w:tr>
        <w:tc>
          <w:tcPr>
            <w:tcW w:type="dxa" w:w="1080"/>
          </w:tcPr>
          <w:p>
            <w:pPr>
              <w:spacing w:line="240" w:lineRule="auto"/>
              <w:jc w:val="left"/>
            </w:pPr>
            <w:r/>
          </w:p>
        </w:tc>
        <w:tc>
          <w:tcPr>
            <w:tcW w:type="dxa" w:w="1080"/>
          </w:tcPr>
          <w:p>
            <w:pPr>
              <w:spacing w:line="240" w:lineRule="auto"/>
              <w:jc w:val="left"/>
            </w:pPr>
            <w:r/>
            <w:r>
              <w:rPr>
                <w:b w:val="0"/>
                <w:i w:val="0"/>
                <w:sz w:val="22"/>
              </w:rPr>
              <w:t>p60</w:t>
            </w:r>
          </w:p>
        </w:tc>
        <w:tc>
          <w:tcPr>
            <w:tcW w:type="dxa" w:w="1080"/>
          </w:tcPr>
          <w:p>
            <w:pPr>
              <w:spacing w:line="240" w:lineRule="auto"/>
              <w:jc w:val="left"/>
            </w:pPr>
            <w:r/>
            <w:r>
              <w:rPr>
                <w:b w:val="0"/>
                <w:i w:val="0"/>
                <w:sz w:val="22"/>
              </w:rPr>
              <w:t>P21171</w:t>
            </w:r>
          </w:p>
        </w:tc>
        <w:tc>
          <w:tcPr>
            <w:tcW w:type="dxa" w:w="1080"/>
          </w:tcPr>
          <w:p>
            <w:pPr>
              <w:spacing w:line="240" w:lineRule="auto"/>
              <w:jc w:val="left"/>
            </w:pPr>
            <w:r/>
            <w:r>
              <w:rPr>
                <w:b w:val="0"/>
                <w:i w:val="0"/>
                <w:sz w:val="22"/>
              </w:rPr>
              <w:t>Preclinical (CD8)</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Harty 1995, 10.4049/jimmunol.154.9.4642</w:t>
            </w:r>
          </w:p>
        </w:tc>
      </w:tr>
      <w:tr>
        <w:tc>
          <w:tcPr>
            <w:tcW w:type="dxa" w:w="1080"/>
          </w:tcPr>
          <w:p>
            <w:pPr>
              <w:spacing w:line="240" w:lineRule="auto"/>
              <w:jc w:val="left"/>
            </w:pPr>
            <w:r/>
          </w:p>
        </w:tc>
        <w:tc>
          <w:tcPr>
            <w:tcW w:type="dxa" w:w="1080"/>
          </w:tcPr>
          <w:p>
            <w:pPr>
              <w:spacing w:line="240" w:lineRule="auto"/>
              <w:jc w:val="left"/>
            </w:pPr>
            <w:r/>
            <w:r>
              <w:rPr>
                <w:b w:val="0"/>
                <w:i w:val="0"/>
                <w:sz w:val="22"/>
              </w:rPr>
              <w:t>InlA</w:t>
            </w:r>
          </w:p>
        </w:tc>
        <w:tc>
          <w:tcPr>
            <w:tcW w:type="dxa" w:w="1080"/>
          </w:tcPr>
          <w:p>
            <w:pPr>
              <w:spacing w:line="240" w:lineRule="auto"/>
              <w:jc w:val="left"/>
            </w:pPr>
            <w:r/>
            <w:r>
              <w:rPr>
                <w:b w:val="0"/>
                <w:i w:val="0"/>
                <w:sz w:val="22"/>
              </w:rPr>
              <w:t>P0DJM0</w:t>
            </w:r>
          </w:p>
        </w:tc>
        <w:tc>
          <w:tcPr>
            <w:tcW w:type="dxa" w:w="1080"/>
          </w:tcPr>
          <w:p>
            <w:pPr>
              <w:spacing w:line="240" w:lineRule="auto"/>
              <w:jc w:val="left"/>
            </w:pPr>
            <w:r/>
            <w:r>
              <w:rPr>
                <w:b w:val="0"/>
                <w:i w:val="0"/>
                <w:sz w:val="22"/>
              </w:rPr>
              <w:t>Virulence factor / candidate</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#214</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Gaillard 1991, 10.1016/0092-8674(91)90009-n</w:t>
            </w:r>
          </w:p>
        </w:tc>
      </w:tr>
      <w:tr>
        <w:tc>
          <w:tcPr>
            <w:tcW w:type="dxa" w:w="1080"/>
          </w:tcPr>
          <w:p>
            <w:pPr>
              <w:spacing w:line="240" w:lineRule="auto"/>
              <w:jc w:val="left"/>
            </w:pPr>
            <w:r/>
          </w:p>
        </w:tc>
        <w:tc>
          <w:tcPr>
            <w:tcW w:type="dxa" w:w="1080"/>
          </w:tcPr>
          <w:p>
            <w:pPr>
              <w:spacing w:line="240" w:lineRule="auto"/>
              <w:jc w:val="left"/>
            </w:pPr>
            <w:r/>
            <w:r>
              <w:rPr>
                <w:b w:val="0"/>
                <w:i w:val="0"/>
                <w:sz w:val="22"/>
              </w:rPr>
              <w:t>InlB</w:t>
            </w:r>
          </w:p>
        </w:tc>
        <w:tc>
          <w:tcPr>
            <w:tcW w:type="dxa" w:w="1080"/>
          </w:tcPr>
          <w:p>
            <w:pPr>
              <w:spacing w:line="240" w:lineRule="auto"/>
              <w:jc w:val="left"/>
            </w:pPr>
            <w:r/>
            <w:r>
              <w:rPr>
                <w:b w:val="0"/>
                <w:i w:val="0"/>
                <w:sz w:val="22"/>
              </w:rPr>
              <w:t>P0DQD2</w:t>
            </w:r>
          </w:p>
        </w:tc>
        <w:tc>
          <w:tcPr>
            <w:tcW w:type="dxa" w:w="1080"/>
          </w:tcPr>
          <w:p>
            <w:pPr>
              <w:spacing w:line="240" w:lineRule="auto"/>
              <w:jc w:val="left"/>
            </w:pPr>
            <w:r/>
            <w:r>
              <w:rPr>
                <w:b w:val="0"/>
                <w:i w:val="0"/>
                <w:sz w:val="22"/>
              </w:rPr>
              <w:t>Virulence factor / candidate</w:t>
            </w:r>
          </w:p>
        </w:tc>
        <w:tc>
          <w:tcPr>
            <w:tcW w:type="dxa" w:w="1080"/>
          </w:tcPr>
          <w:p>
            <w:pPr>
              <w:spacing w:line="240" w:lineRule="auto"/>
              <w:jc w:val="left"/>
            </w:pPr>
            <w:r/>
            <w:r>
              <w:rPr>
                <w:b w:val="0"/>
                <w:i w:val="0"/>
                <w:sz w:val="22"/>
              </w:rPr>
              <w:t>#15</w:t>
            </w:r>
          </w:p>
        </w:tc>
        <w:tc>
          <w:tcPr>
            <w:tcW w:type="dxa" w:w="1080"/>
          </w:tcPr>
          <w:p>
            <w:pPr>
              <w:spacing w:line="240" w:lineRule="auto"/>
              <w:jc w:val="left"/>
            </w:pPr>
            <w:r/>
            <w:r>
              <w:rPr>
                <w:b w:val="0"/>
                <w:i w:val="0"/>
                <w:sz w:val="22"/>
              </w:rPr>
              <w:t>#143</w:t>
            </w:r>
          </w:p>
        </w:tc>
        <w:tc>
          <w:tcPr>
            <w:tcW w:type="dxa" w:w="1080"/>
          </w:tcPr>
          <w:p>
            <w:pPr>
              <w:spacing w:line="240" w:lineRule="auto"/>
              <w:jc w:val="left"/>
            </w:pPr>
            <w:r/>
            <w:r>
              <w:rPr>
                <w:b w:val="0"/>
                <w:i w:val="0"/>
                <w:sz w:val="22"/>
              </w:rPr>
              <w:t>#72</w:t>
            </w:r>
          </w:p>
        </w:tc>
        <w:tc>
          <w:tcPr>
            <w:tcW w:type="dxa" w:w="1080"/>
          </w:tcPr>
          <w:p>
            <w:pPr>
              <w:spacing w:line="240" w:lineRule="auto"/>
              <w:jc w:val="left"/>
            </w:pPr>
            <w:r/>
            <w:r>
              <w:rPr>
                <w:b w:val="0"/>
                <w:i w:val="0"/>
                <w:sz w:val="22"/>
              </w:rPr>
              <w:t>Dramsi 1995, 10.1111/j.1365-2958.1995.tb02297.x</w:t>
            </w:r>
          </w:p>
        </w:tc>
      </w:tr>
      <w:tr>
        <w:tc>
          <w:tcPr>
            <w:tcW w:type="dxa" w:w="1080"/>
          </w:tcPr>
          <w:p>
            <w:pPr>
              <w:spacing w:line="240" w:lineRule="auto"/>
              <w:jc w:val="left"/>
            </w:pPr>
            <w:r/>
          </w:p>
        </w:tc>
        <w:tc>
          <w:tcPr>
            <w:tcW w:type="dxa" w:w="1080"/>
          </w:tcPr>
          <w:p>
            <w:pPr>
              <w:spacing w:line="240" w:lineRule="auto"/>
              <w:jc w:val="left"/>
            </w:pPr>
            <w:r/>
            <w:r>
              <w:rPr>
                <w:b w:val="0"/>
                <w:i w:val="0"/>
                <w:sz w:val="22"/>
              </w:rPr>
              <w:t>ActA</w:t>
            </w:r>
          </w:p>
        </w:tc>
        <w:tc>
          <w:tcPr>
            <w:tcW w:type="dxa" w:w="1080"/>
          </w:tcPr>
          <w:p>
            <w:pPr>
              <w:spacing w:line="240" w:lineRule="auto"/>
              <w:jc w:val="left"/>
            </w:pPr>
            <w:r/>
            <w:r>
              <w:rPr>
                <w:b w:val="0"/>
                <w:i w:val="0"/>
                <w:sz w:val="22"/>
              </w:rPr>
              <w:t>P33379</w:t>
            </w:r>
          </w:p>
        </w:tc>
        <w:tc>
          <w:tcPr>
            <w:tcW w:type="dxa" w:w="1080"/>
          </w:tcPr>
          <w:p>
            <w:pPr>
              <w:spacing w:line="240" w:lineRule="auto"/>
              <w:jc w:val="left"/>
            </w:pPr>
            <w:r/>
            <w:r>
              <w:rPr>
                <w:b w:val="0"/>
                <w:i w:val="0"/>
                <w:sz w:val="22"/>
              </w:rPr>
              <w:t>Passive-protection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#210</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Asano 2016, 10.1038/srep39628</w:t>
            </w:r>
          </w:p>
        </w:tc>
      </w:tr>
      <w:tr>
        <w:tc>
          <w:tcPr>
            <w:tcW w:type="dxa" w:w="1080"/>
          </w:tcPr>
          <w:p>
            <w:pPr>
              <w:spacing w:line="240" w:lineRule="auto"/>
              <w:jc w:val="left"/>
            </w:pPr>
            <w:r/>
            <w:r>
              <w:rPr>
                <w:b w:val="0"/>
                <w:i w:val="0"/>
                <w:sz w:val="22"/>
              </w:rPr>
              <w:t>S. Typhimurium</w:t>
            </w:r>
          </w:p>
        </w:tc>
        <w:tc>
          <w:tcPr>
            <w:tcW w:type="dxa" w:w="1080"/>
          </w:tcPr>
          <w:p>
            <w:pPr>
              <w:spacing w:line="240" w:lineRule="auto"/>
              <w:jc w:val="left"/>
            </w:pPr>
            <w:r/>
            <w:r>
              <w:rPr>
                <w:b w:val="0"/>
                <w:i w:val="0"/>
                <w:sz w:val="22"/>
              </w:rPr>
              <w:t>OmpD</w:t>
            </w:r>
          </w:p>
        </w:tc>
        <w:tc>
          <w:tcPr>
            <w:tcW w:type="dxa" w:w="1080"/>
          </w:tcPr>
          <w:p>
            <w:pPr>
              <w:spacing w:line="240" w:lineRule="auto"/>
              <w:jc w:val="left"/>
            </w:pPr>
            <w:r/>
            <w:r>
              <w:rPr>
                <w:b w:val="0"/>
                <w:i w:val="0"/>
                <w:sz w:val="22"/>
              </w:rPr>
              <w:t>P37592</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#63</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Gil-Cruz 2009, 10.1073/pnas.0812431106</w:t>
            </w:r>
          </w:p>
        </w:tc>
      </w:tr>
      <w:tr>
        <w:tc>
          <w:tcPr>
            <w:tcW w:type="dxa" w:w="1080"/>
          </w:tcPr>
          <w:p>
            <w:pPr>
              <w:spacing w:line="240" w:lineRule="auto"/>
              <w:jc w:val="left"/>
            </w:pPr>
            <w:r/>
          </w:p>
        </w:tc>
        <w:tc>
          <w:tcPr>
            <w:tcW w:type="dxa" w:w="1080"/>
          </w:tcPr>
          <w:p>
            <w:pPr>
              <w:spacing w:line="240" w:lineRule="auto"/>
              <w:jc w:val="left"/>
            </w:pPr>
            <w:r/>
            <w:r>
              <w:rPr>
                <w:b w:val="0"/>
                <w:i w:val="0"/>
                <w:sz w:val="22"/>
              </w:rPr>
              <w:t>OmpC</w:t>
            </w:r>
          </w:p>
        </w:tc>
        <w:tc>
          <w:tcPr>
            <w:tcW w:type="dxa" w:w="1080"/>
          </w:tcPr>
          <w:p>
            <w:pPr>
              <w:spacing w:line="240" w:lineRule="auto"/>
              <w:jc w:val="left"/>
            </w:pPr>
            <w:r/>
            <w:r>
              <w:rPr>
                <w:b w:val="0"/>
                <w:i w:val="0"/>
                <w:sz w:val="22"/>
              </w:rPr>
              <w:t>P0A263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Secundino 2006, 10.1111/j.1365-2567.2005.02263.x</w:t>
            </w:r>
          </w:p>
        </w:tc>
      </w:tr>
      <w:tr>
        <w:tc>
          <w:tcPr>
            <w:tcW w:type="dxa" w:w="1080"/>
          </w:tcPr>
          <w:p>
            <w:pPr>
              <w:spacing w:line="240" w:lineRule="auto"/>
              <w:jc w:val="left"/>
            </w:pPr>
            <w:r/>
          </w:p>
        </w:tc>
        <w:tc>
          <w:tcPr>
            <w:tcW w:type="dxa" w:w="1080"/>
          </w:tcPr>
          <w:p>
            <w:pPr>
              <w:spacing w:line="240" w:lineRule="auto"/>
              <w:jc w:val="left"/>
            </w:pPr>
            <w:r/>
            <w:r>
              <w:rPr>
                <w:b w:val="0"/>
                <w:i w:val="0"/>
                <w:sz w:val="22"/>
              </w:rPr>
              <w:t>OmpA</w:t>
            </w:r>
          </w:p>
        </w:tc>
        <w:tc>
          <w:tcPr>
            <w:tcW w:type="dxa" w:w="1080"/>
          </w:tcPr>
          <w:p>
            <w:pPr>
              <w:spacing w:line="240" w:lineRule="auto"/>
              <w:jc w:val="left"/>
            </w:pPr>
            <w:r/>
            <w:r>
              <w:rPr>
                <w:b w:val="0"/>
                <w:i w:val="0"/>
                <w:sz w:val="22"/>
              </w:rPr>
              <w:t>P02936</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#20</w:t>
            </w:r>
          </w:p>
        </w:tc>
        <w:tc>
          <w:tcPr>
            <w:tcW w:type="dxa" w:w="1080"/>
          </w:tcPr>
          <w:p>
            <w:pPr>
              <w:spacing w:line="240" w:lineRule="auto"/>
              <w:jc w:val="left"/>
            </w:pPr>
            <w:r/>
            <w:r>
              <w:rPr>
                <w:b w:val="0"/>
                <w:i w:val="0"/>
                <w:sz w:val="22"/>
              </w:rPr>
              <w:t>#185</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Domínguez-Medina 2020, 10.1038/s41467-020-14655-9</w:t>
            </w:r>
          </w:p>
        </w:tc>
      </w:tr>
      <w:tr>
        <w:tc>
          <w:tcPr>
            <w:tcW w:type="dxa" w:w="1080"/>
          </w:tcPr>
          <w:p>
            <w:pPr>
              <w:spacing w:line="240" w:lineRule="auto"/>
              <w:jc w:val="left"/>
            </w:pPr>
            <w:r/>
          </w:p>
        </w:tc>
        <w:tc>
          <w:tcPr>
            <w:tcW w:type="dxa" w:w="1080"/>
          </w:tcPr>
          <w:p>
            <w:pPr>
              <w:spacing w:line="240" w:lineRule="auto"/>
              <w:jc w:val="left"/>
            </w:pPr>
            <w:r/>
            <w:r>
              <w:rPr>
                <w:b w:val="0"/>
                <w:i w:val="0"/>
                <w:sz w:val="22"/>
              </w:rPr>
              <w:t>FliC</w:t>
            </w:r>
          </w:p>
        </w:tc>
        <w:tc>
          <w:tcPr>
            <w:tcW w:type="dxa" w:w="1080"/>
          </w:tcPr>
          <w:p>
            <w:pPr>
              <w:spacing w:line="240" w:lineRule="auto"/>
              <w:jc w:val="left"/>
            </w:pPr>
            <w:r/>
            <w:r>
              <w:rPr>
                <w:b w:val="0"/>
                <w:i w:val="0"/>
                <w:sz w:val="22"/>
              </w:rPr>
              <w:t>P06179</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#127</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Bumann 2014, 10.3389/fimmu.2014.00381</w:t>
            </w:r>
          </w:p>
        </w:tc>
      </w:tr>
      <w:tr>
        <w:tc>
          <w:tcPr>
            <w:tcW w:type="dxa" w:w="1080"/>
          </w:tcPr>
          <w:p>
            <w:pPr>
              <w:spacing w:line="240" w:lineRule="auto"/>
              <w:jc w:val="left"/>
            </w:pPr>
            <w:r/>
          </w:p>
        </w:tc>
        <w:tc>
          <w:tcPr>
            <w:tcW w:type="dxa" w:w="1080"/>
          </w:tcPr>
          <w:p>
            <w:pPr>
              <w:spacing w:line="240" w:lineRule="auto"/>
              <w:jc w:val="left"/>
            </w:pPr>
            <w:r/>
            <w:r>
              <w:rPr>
                <w:b w:val="0"/>
                <w:i w:val="0"/>
                <w:sz w:val="22"/>
              </w:rPr>
              <w:t>SseB</w:t>
            </w:r>
          </w:p>
        </w:tc>
        <w:tc>
          <w:tcPr>
            <w:tcW w:type="dxa" w:w="1080"/>
          </w:tcPr>
          <w:p>
            <w:pPr>
              <w:spacing w:line="240" w:lineRule="auto"/>
              <w:jc w:val="left"/>
            </w:pPr>
            <w:r/>
            <w:r>
              <w:rPr>
                <w:b w:val="0"/>
                <w:i w:val="0"/>
                <w:sz w:val="22"/>
              </w:rPr>
              <w:t>Q7BVH7</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#12</w:t>
            </w:r>
          </w:p>
        </w:tc>
        <w:tc>
          <w:tcPr>
            <w:tcW w:type="dxa" w:w="1080"/>
          </w:tcPr>
          <w:p>
            <w:pPr>
              <w:spacing w:line="240" w:lineRule="auto"/>
              <w:jc w:val="left"/>
            </w:pPr>
            <w:r/>
            <w:r>
              <w:rPr>
                <w:b w:val="0"/>
                <w:i w:val="0"/>
                <w:sz w:val="22"/>
              </w:rPr>
              <w:t>#897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Lee 2017, 10.4049/jimmunol.1601357</w:t>
            </w:r>
          </w:p>
        </w:tc>
      </w:tr>
      <w:tr>
        <w:tc>
          <w:tcPr>
            <w:tcW w:type="dxa" w:w="1080"/>
          </w:tcPr>
          <w:p>
            <w:pPr>
              <w:spacing w:line="240" w:lineRule="auto"/>
              <w:jc w:val="left"/>
            </w:pPr>
            <w:r/>
            <w:r>
              <w:rPr>
                <w:b w:val="0"/>
                <w:i w:val="0"/>
                <w:sz w:val="22"/>
              </w:rPr>
              <w:t>C. burnetii</w:t>
            </w:r>
          </w:p>
        </w:tc>
        <w:tc>
          <w:tcPr>
            <w:tcW w:type="dxa" w:w="1080"/>
          </w:tcPr>
          <w:p>
            <w:pPr>
              <w:spacing w:line="240" w:lineRule="auto"/>
              <w:jc w:val="left"/>
            </w:pPr>
            <w:r/>
            <w:r>
              <w:rPr>
                <w:b w:val="0"/>
                <w:i w:val="0"/>
                <w:sz w:val="22"/>
              </w:rPr>
              <w:t>Com1</w:t>
            </w:r>
          </w:p>
        </w:tc>
        <w:tc>
          <w:tcPr>
            <w:tcW w:type="dxa" w:w="1080"/>
          </w:tcPr>
          <w:p>
            <w:pPr>
              <w:spacing w:line="240" w:lineRule="auto"/>
              <w:jc w:val="left"/>
            </w:pPr>
            <w:r/>
            <w:r>
              <w:rPr>
                <w:b w:val="0"/>
                <w:i w:val="0"/>
                <w:sz w:val="22"/>
              </w:rPr>
              <w:t>H7C7D7</w:t>
            </w:r>
          </w:p>
        </w:tc>
        <w:tc>
          <w:tcPr>
            <w:tcW w:type="dxa" w:w="1080"/>
          </w:tcPr>
          <w:p>
            <w:pPr>
              <w:spacing w:line="240" w:lineRule="auto"/>
              <w:jc w:val="left"/>
            </w:pPr>
            <w:r/>
            <w:r>
              <w:rPr>
                <w:b w:val="0"/>
                <w:i w:val="0"/>
                <w:sz w:val="22"/>
              </w:rPr>
              <w:t>Preclinical (adoptive transfer)</w:t>
            </w:r>
          </w:p>
        </w:tc>
        <w:tc>
          <w:tcPr>
            <w:tcW w:type="dxa" w:w="1080"/>
          </w:tcPr>
          <w:p>
            <w:pPr>
              <w:spacing w:line="240" w:lineRule="auto"/>
              <w:jc w:val="left"/>
            </w:pPr>
            <w:r/>
            <w:r>
              <w:rPr>
                <w:b w:val="0"/>
                <w:i w:val="0"/>
                <w:sz w:val="22"/>
              </w:rPr>
              <w:t>#42</w:t>
            </w:r>
          </w:p>
        </w:tc>
        <w:tc>
          <w:tcPr>
            <w:tcW w:type="dxa" w:w="1080"/>
          </w:tcPr>
          <w:p>
            <w:pPr>
              <w:spacing w:line="240" w:lineRule="auto"/>
              <w:jc w:val="left"/>
            </w:pPr>
            <w:r/>
            <w:r>
              <w:rPr>
                <w:b w:val="0"/>
                <w:i w:val="0"/>
                <w:sz w:val="22"/>
              </w:rPr>
              <w:t>#64</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Mip</w:t>
            </w:r>
          </w:p>
        </w:tc>
        <w:tc>
          <w:tcPr>
            <w:tcW w:type="dxa" w:w="1080"/>
          </w:tcPr>
          <w:p>
            <w:pPr>
              <w:spacing w:line="240" w:lineRule="auto"/>
              <w:jc w:val="left"/>
            </w:pPr>
            <w:r/>
            <w:r>
              <w:rPr>
                <w:b w:val="0"/>
                <w:i w:val="0"/>
                <w:sz w:val="22"/>
              </w:rPr>
              <w:t>P51752</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OmpH</w:t>
            </w:r>
          </w:p>
        </w:tc>
        <w:tc>
          <w:tcPr>
            <w:tcW w:type="dxa" w:w="1080"/>
          </w:tcPr>
          <w:p>
            <w:pPr>
              <w:spacing w:line="240" w:lineRule="auto"/>
              <w:jc w:val="left"/>
            </w:pPr>
            <w:r/>
            <w:r>
              <w:rPr>
                <w:b w:val="0"/>
                <w:i w:val="0"/>
                <w:sz w:val="22"/>
              </w:rPr>
              <w:t>Q83DT1</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#177</w:t>
            </w:r>
          </w:p>
        </w:tc>
        <w:tc>
          <w:tcPr>
            <w:tcW w:type="dxa" w:w="1080"/>
          </w:tcPr>
          <w:p>
            <w:pPr>
              <w:spacing w:line="240" w:lineRule="auto"/>
              <w:jc w:val="left"/>
            </w:pPr>
            <w:r/>
            <w:r>
              <w:rPr>
                <w:b w:val="0"/>
                <w:i w:val="0"/>
                <w:sz w:val="22"/>
              </w:rPr>
              <w:t>#713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GroEL</w:t>
            </w:r>
          </w:p>
        </w:tc>
        <w:tc>
          <w:tcPr>
            <w:tcW w:type="dxa" w:w="1080"/>
          </w:tcPr>
          <w:p>
            <w:pPr>
              <w:spacing w:line="240" w:lineRule="auto"/>
              <w:jc w:val="left"/>
            </w:pPr>
            <w:r/>
            <w:r>
              <w:rPr>
                <w:b w:val="0"/>
                <w:i w:val="0"/>
                <w:sz w:val="22"/>
              </w:rPr>
              <w:t>P19421</w:t>
            </w:r>
          </w:p>
        </w:tc>
        <w:tc>
          <w:tcPr>
            <w:tcW w:type="dxa" w:w="1080"/>
          </w:tcPr>
          <w:p>
            <w:pPr>
              <w:spacing w:line="240" w:lineRule="auto"/>
              <w:jc w:val="left"/>
            </w:pPr>
            <w:r/>
            <w:r>
              <w:rPr>
                <w:b w:val="0"/>
                <w:i w:val="0"/>
                <w:sz w:val="22"/>
              </w:rPr>
              <w:t>Immunodominant (weak)</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r>
              <w:rPr>
                <w:b w:val="0"/>
                <w:i w:val="0"/>
                <w:sz w:val="22"/>
              </w:rPr>
              <w:t>S. suis</w:t>
            </w:r>
          </w:p>
        </w:tc>
        <w:tc>
          <w:tcPr>
            <w:tcW w:type="dxa" w:w="1080"/>
          </w:tcPr>
          <w:p>
            <w:pPr>
              <w:spacing w:line="240" w:lineRule="auto"/>
              <w:jc w:val="left"/>
            </w:pPr>
            <w:r/>
            <w:r>
              <w:rPr>
                <w:b w:val="0"/>
                <w:i w:val="0"/>
                <w:sz w:val="22"/>
              </w:rPr>
              <w:t>Suilysin</w:t>
            </w:r>
          </w:p>
        </w:tc>
        <w:tc>
          <w:tcPr>
            <w:tcW w:type="dxa" w:w="1080"/>
          </w:tcPr>
          <w:p>
            <w:pPr>
              <w:spacing w:line="240" w:lineRule="auto"/>
              <w:jc w:val="left"/>
            </w:pPr>
            <w:r/>
            <w:r>
              <w:rPr>
                <w:b w:val="0"/>
                <w:i w:val="0"/>
                <w:sz w:val="22"/>
              </w:rPr>
              <w:t>A0A0H3MU02</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#52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Du 2013, 10.1016/j.vaccine.2013.07.004</w:t>
            </w:r>
          </w:p>
        </w:tc>
      </w:tr>
      <w:tr>
        <w:tc>
          <w:tcPr>
            <w:tcW w:type="dxa" w:w="1080"/>
          </w:tcPr>
          <w:p>
            <w:pPr>
              <w:spacing w:line="240" w:lineRule="auto"/>
              <w:jc w:val="left"/>
            </w:pPr>
            <w:r/>
          </w:p>
        </w:tc>
        <w:tc>
          <w:tcPr>
            <w:tcW w:type="dxa" w:w="1080"/>
          </w:tcPr>
          <w:p>
            <w:pPr>
              <w:spacing w:line="240" w:lineRule="auto"/>
              <w:jc w:val="left"/>
            </w:pPr>
            <w:r/>
            <w:r>
              <w:rPr>
                <w:b w:val="0"/>
                <w:i w:val="0"/>
                <w:sz w:val="22"/>
              </w:rPr>
              <w:t>Enolase</w:t>
            </w:r>
          </w:p>
        </w:tc>
        <w:tc>
          <w:tcPr>
            <w:tcW w:type="dxa" w:w="1080"/>
          </w:tcPr>
          <w:p>
            <w:pPr>
              <w:spacing w:line="240" w:lineRule="auto"/>
              <w:jc w:val="left"/>
            </w:pPr>
            <w:r/>
            <w:r>
              <w:rPr>
                <w:b w:val="0"/>
                <w:i w:val="0"/>
                <w:sz w:val="22"/>
              </w:rPr>
              <w:t>A0A0H3N5B2</w:t>
            </w:r>
          </w:p>
        </w:tc>
        <w:tc>
          <w:tcPr>
            <w:tcW w:type="dxa" w:w="1080"/>
          </w:tcPr>
          <w:p>
            <w:pPr>
              <w:spacing w:line="240" w:lineRule="auto"/>
              <w:jc w:val="left"/>
            </w:pPr>
            <w:r/>
            <w:r>
              <w:rPr>
                <w:b w:val="0"/>
                <w:i w:val="0"/>
                <w:sz w:val="22"/>
              </w:rPr>
              <w:t>Preclinical (full protection)</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6PGD</w:t>
            </w:r>
          </w:p>
        </w:tc>
        <w:tc>
          <w:tcPr>
            <w:tcW w:type="dxa" w:w="1080"/>
          </w:tcPr>
          <w:p>
            <w:pPr>
              <w:spacing w:line="240" w:lineRule="auto"/>
              <w:jc w:val="left"/>
            </w:pPr>
            <w:r/>
            <w:r>
              <w:rPr>
                <w:b w:val="0"/>
                <w:i w:val="0"/>
                <w:sz w:val="22"/>
              </w:rPr>
              <w:t>A0A0H3N193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#68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p>
        </w:tc>
        <w:tc>
          <w:tcPr>
            <w:tcW w:type="dxa" w:w="1080"/>
          </w:tcPr>
          <w:p>
            <w:pPr>
              <w:spacing w:line="240" w:lineRule="auto"/>
              <w:jc w:val="left"/>
            </w:pPr>
            <w:r/>
            <w:r>
              <w:rPr>
                <w:b w:val="0"/>
                <w:i w:val="0"/>
                <w:sz w:val="22"/>
              </w:rPr>
              <w:t>GAPDH</w:t>
            </w:r>
          </w:p>
        </w:tc>
        <w:tc>
          <w:tcPr>
            <w:tcW w:type="dxa" w:w="1080"/>
          </w:tcPr>
          <w:p>
            <w:pPr>
              <w:spacing w:line="240" w:lineRule="auto"/>
              <w:jc w:val="left"/>
            </w:pPr>
            <w:r/>
            <w:r>
              <w:rPr>
                <w:b w:val="0"/>
                <w:i w:val="0"/>
                <w:sz w:val="22"/>
              </w:rPr>
              <w:t>A0A0H3MSV3</w:t>
            </w:r>
          </w:p>
        </w:tc>
        <w:tc>
          <w:tcPr>
            <w:tcW w:type="dxa" w:w="1080"/>
          </w:tcPr>
          <w:p>
            <w:pPr>
              <w:spacing w:line="240" w:lineRule="auto"/>
              <w:jc w:val="left"/>
            </w:pPr>
            <w:r/>
            <w:r>
              <w:rPr>
                <w:b w:val="0"/>
                <w:i w:val="0"/>
                <w:sz w:val="22"/>
              </w:rPr>
              <w:t>Moonlighting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DnaJ</w:t>
            </w:r>
          </w:p>
        </w:tc>
        <w:tc>
          <w:tcPr>
            <w:tcW w:type="dxa" w:w="1080"/>
          </w:tcPr>
          <w:p>
            <w:pPr>
              <w:spacing w:line="240" w:lineRule="auto"/>
              <w:jc w:val="left"/>
            </w:pPr>
            <w:r/>
            <w:r>
              <w:rPr>
                <w:b w:val="0"/>
                <w:i w:val="0"/>
                <w:sz w:val="22"/>
              </w:rPr>
              <w:t>A0A0H3MXM0</w:t>
            </w:r>
          </w:p>
        </w:tc>
        <w:tc>
          <w:tcPr>
            <w:tcW w:type="dxa" w:w="1080"/>
          </w:tcPr>
          <w:p>
            <w:pPr>
              <w:spacing w:line="240" w:lineRule="auto"/>
              <w:jc w:val="left"/>
            </w:pPr>
            <w:r/>
            <w:r>
              <w:rPr>
                <w:b w:val="0"/>
                <w:i w:val="0"/>
                <w:sz w:val="22"/>
              </w:rPr>
              <w:t>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#482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r>
              <w:rPr>
                <w:b w:val="0"/>
                <w:i w:val="0"/>
                <w:sz w:val="22"/>
              </w:rPr>
              <w:t>B. suis</w:t>
            </w:r>
          </w:p>
        </w:tc>
        <w:tc>
          <w:tcPr>
            <w:tcW w:type="dxa" w:w="1080"/>
          </w:tcPr>
          <w:p>
            <w:pPr>
              <w:spacing w:line="240" w:lineRule="auto"/>
              <w:jc w:val="left"/>
            </w:pPr>
            <w:r/>
            <w:r>
              <w:rPr>
                <w:b w:val="0"/>
                <w:i w:val="0"/>
                <w:sz w:val="22"/>
              </w:rPr>
              <w:t>Omp25</w:t>
            </w:r>
          </w:p>
        </w:tc>
        <w:tc>
          <w:tcPr>
            <w:tcW w:type="dxa" w:w="1080"/>
          </w:tcPr>
          <w:p>
            <w:pPr>
              <w:spacing w:line="240" w:lineRule="auto"/>
              <w:jc w:val="left"/>
            </w:pPr>
            <w:r/>
            <w:r>
              <w:rPr>
                <w:b w:val="0"/>
                <w:i w:val="0"/>
                <w:sz w:val="22"/>
              </w:rPr>
              <w:t>Q45689</w:t>
            </w:r>
          </w:p>
        </w:tc>
        <w:tc>
          <w:tcPr>
            <w:tcW w:type="dxa" w:w="1080"/>
          </w:tcPr>
          <w:p>
            <w:pPr>
              <w:spacing w:line="240" w:lineRule="auto"/>
              <w:jc w:val="left"/>
            </w:pPr>
            <w:r/>
            <w:r>
              <w:rPr>
                <w:b w:val="0"/>
                <w:i w:val="0"/>
                <w:sz w:val="22"/>
              </w:rPr>
              <w:t>Vet-licensed strain / candidate</w:t>
            </w:r>
          </w:p>
        </w:tc>
        <w:tc>
          <w:tcPr>
            <w:tcW w:type="dxa" w:w="1080"/>
          </w:tcPr>
          <w:p>
            <w:pPr>
              <w:spacing w:line="240" w:lineRule="auto"/>
              <w:jc w:val="left"/>
            </w:pPr>
            <w:r/>
            <w:r>
              <w:rPr>
                <w:b w:val="0"/>
                <w:i w:val="0"/>
                <w:sz w:val="22"/>
              </w:rPr>
              <w:t>#102</w:t>
            </w:r>
          </w:p>
        </w:tc>
        <w:tc>
          <w:tcPr>
            <w:tcW w:type="dxa" w:w="1080"/>
          </w:tcPr>
          <w:p>
            <w:pPr>
              <w:spacing w:line="240" w:lineRule="auto"/>
              <w:jc w:val="left"/>
            </w:pPr>
            <w:r/>
            <w:r>
              <w:rPr>
                <w:b w:val="0"/>
                <w:i w:val="0"/>
                <w:sz w:val="22"/>
              </w:rPr>
              <w:t>#101</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Omp31</w:t>
            </w:r>
          </w:p>
        </w:tc>
        <w:tc>
          <w:tcPr>
            <w:tcW w:type="dxa" w:w="1080"/>
          </w:tcPr>
          <w:p>
            <w:pPr>
              <w:spacing w:line="240" w:lineRule="auto"/>
              <w:jc w:val="left"/>
            </w:pPr>
            <w:r/>
            <w:r>
              <w:rPr>
                <w:b w:val="0"/>
                <w:i w:val="0"/>
                <w:sz w:val="22"/>
              </w:rPr>
              <w:t>P0A3U5</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#36</w:t>
            </w:r>
          </w:p>
        </w:tc>
        <w:tc>
          <w:tcPr>
            <w:tcW w:type="dxa" w:w="1080"/>
          </w:tcPr>
          <w:p>
            <w:pPr>
              <w:spacing w:line="240" w:lineRule="auto"/>
              <w:jc w:val="left"/>
            </w:pPr>
            <w:r/>
            <w:r>
              <w:rPr>
                <w:b w:val="0"/>
                <w:i w:val="0"/>
                <w:sz w:val="22"/>
              </w:rPr>
              <w:t>#218</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BP26</w:t>
            </w:r>
          </w:p>
        </w:tc>
        <w:tc>
          <w:tcPr>
            <w:tcW w:type="dxa" w:w="1080"/>
          </w:tcPr>
          <w:p>
            <w:pPr>
              <w:spacing w:line="240" w:lineRule="auto"/>
              <w:jc w:val="left"/>
            </w:pPr>
            <w:r/>
            <w:r>
              <w:rPr>
                <w:b w:val="0"/>
                <w:i w:val="0"/>
                <w:sz w:val="22"/>
              </w:rPr>
              <w:t>P0A3U9</w:t>
            </w:r>
          </w:p>
        </w:tc>
        <w:tc>
          <w:tcPr>
            <w:tcW w:type="dxa" w:w="1080"/>
          </w:tcPr>
          <w:p>
            <w:pPr>
              <w:spacing w:line="240" w:lineRule="auto"/>
              <w:jc w:val="left"/>
            </w:pPr>
            <w:r/>
            <w:r>
              <w:rPr>
                <w:b w:val="0"/>
                <w:i w:val="0"/>
                <w:sz w:val="22"/>
              </w:rPr>
              <w:t>Immunodominant / diagnostic</w:t>
            </w:r>
          </w:p>
        </w:tc>
        <w:tc>
          <w:tcPr>
            <w:tcW w:type="dxa" w:w="1080"/>
          </w:tcPr>
          <w:p>
            <w:pPr>
              <w:spacing w:line="240" w:lineRule="auto"/>
              <w:jc w:val="left"/>
            </w:pPr>
            <w:r/>
            <w:r>
              <w:rPr>
                <w:b w:val="0"/>
                <w:i w:val="0"/>
                <w:sz w:val="22"/>
              </w:rPr>
              <w:t>#181</w:t>
            </w:r>
          </w:p>
        </w:tc>
        <w:tc>
          <w:tcPr>
            <w:tcW w:type="dxa" w:w="1080"/>
          </w:tcPr>
          <w:p>
            <w:pPr>
              <w:spacing w:line="240" w:lineRule="auto"/>
              <w:jc w:val="left"/>
            </w:pPr>
            <w:r/>
            <w:r>
              <w:rPr>
                <w:b w:val="0"/>
                <w:i w:val="0"/>
                <w:sz w:val="22"/>
              </w:rPr>
              <w:t>#255</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Kim 2013, 10.1016/j.jmb.2013.01.015</w:t>
            </w:r>
          </w:p>
        </w:tc>
      </w:tr>
      <w:tr>
        <w:tc>
          <w:tcPr>
            <w:tcW w:type="dxa" w:w="1080"/>
          </w:tcPr>
          <w:p>
            <w:pPr>
              <w:spacing w:line="240" w:lineRule="auto"/>
              <w:jc w:val="left"/>
            </w:pPr>
            <w:r/>
          </w:p>
        </w:tc>
        <w:tc>
          <w:tcPr>
            <w:tcW w:type="dxa" w:w="1080"/>
          </w:tcPr>
          <w:p>
            <w:pPr>
              <w:spacing w:line="240" w:lineRule="auto"/>
              <w:jc w:val="left"/>
            </w:pPr>
            <w:r/>
            <w:r>
              <w:rPr>
                <w:b w:val="0"/>
                <w:i w:val="0"/>
                <w:sz w:val="22"/>
              </w:rPr>
              <w:t>SodC</w:t>
            </w:r>
          </w:p>
        </w:tc>
        <w:tc>
          <w:tcPr>
            <w:tcW w:type="dxa" w:w="1080"/>
          </w:tcPr>
          <w:p>
            <w:pPr>
              <w:spacing w:line="240" w:lineRule="auto"/>
              <w:jc w:val="left"/>
            </w:pPr>
            <w:r/>
            <w:r>
              <w:rPr>
                <w:b w:val="0"/>
                <w:i w:val="0"/>
                <w:sz w:val="22"/>
              </w:rPr>
              <w:t>P66827</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#26</w:t>
            </w:r>
          </w:p>
        </w:tc>
        <w:tc>
          <w:tcPr>
            <w:tcW w:type="dxa" w:w="1080"/>
          </w:tcPr>
          <w:p>
            <w:pPr>
              <w:spacing w:line="240" w:lineRule="auto"/>
              <w:jc w:val="left"/>
            </w:pPr>
            <w:r/>
            <w:r>
              <w:rPr>
                <w:b w:val="0"/>
                <w:i w:val="0"/>
                <w:sz w:val="22"/>
              </w:rPr>
              <w:t>#589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Oñate 2003, 10.1128/IAI.71.9.4857-4861.2003</w:t>
            </w:r>
          </w:p>
        </w:tc>
      </w:tr>
      <w:tr>
        <w:tc>
          <w:tcPr>
            <w:tcW w:type="dxa" w:w="1080"/>
          </w:tcPr>
          <w:p>
            <w:pPr>
              <w:spacing w:line="240" w:lineRule="auto"/>
              <w:jc w:val="left"/>
            </w:pPr>
            <w:r/>
          </w:p>
        </w:tc>
        <w:tc>
          <w:tcPr>
            <w:tcW w:type="dxa" w:w="1080"/>
          </w:tcPr>
          <w:p>
            <w:pPr>
              <w:spacing w:line="240" w:lineRule="auto"/>
              <w:jc w:val="left"/>
            </w:pPr>
            <w:r/>
            <w:r>
              <w:rPr>
                <w:b w:val="0"/>
                <w:i w:val="0"/>
                <w:sz w:val="22"/>
              </w:rPr>
              <w:t>L7/L12</w:t>
            </w:r>
          </w:p>
        </w:tc>
        <w:tc>
          <w:tcPr>
            <w:tcW w:type="dxa" w:w="1080"/>
          </w:tcPr>
          <w:p>
            <w:pPr>
              <w:spacing w:line="240" w:lineRule="auto"/>
              <w:jc w:val="left"/>
            </w:pPr>
            <w:r/>
            <w:r>
              <w:rPr>
                <w:b w:val="0"/>
                <w:i w:val="0"/>
                <w:sz w:val="22"/>
              </w:rPr>
              <w:t>P0A469</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#430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Luo 2006, 10.1128/IAI.74.5.2734-2741.2006</w:t>
            </w:r>
          </w:p>
        </w:tc>
      </w:tr>
      <w:tr>
        <w:tc>
          <w:tcPr>
            <w:tcW w:type="dxa" w:w="1080"/>
          </w:tcPr>
          <w:p>
            <w:pPr>
              <w:spacing w:line="240" w:lineRule="auto"/>
              <w:jc w:val="left"/>
            </w:pPr>
            <w:r/>
            <w:r>
              <w:rPr>
                <w:b w:val="0"/>
                <w:i w:val="0"/>
                <w:sz w:val="22"/>
              </w:rPr>
              <w:t>M. bovis</w:t>
            </w:r>
          </w:p>
        </w:tc>
        <w:tc>
          <w:tcPr>
            <w:tcW w:type="dxa" w:w="1080"/>
          </w:tcPr>
          <w:p>
            <w:pPr>
              <w:spacing w:line="240" w:lineRule="auto"/>
              <w:jc w:val="left"/>
            </w:pPr>
            <w:r/>
            <w:r>
              <w:rPr>
                <w:b w:val="0"/>
                <w:i w:val="0"/>
                <w:sz w:val="22"/>
              </w:rPr>
              <w:t>ESAT-6</w:t>
            </w:r>
          </w:p>
        </w:tc>
        <w:tc>
          <w:tcPr>
            <w:tcW w:type="dxa" w:w="1080"/>
          </w:tcPr>
          <w:p>
            <w:pPr>
              <w:spacing w:line="240" w:lineRule="auto"/>
              <w:jc w:val="left"/>
            </w:pPr>
            <w:r/>
            <w:r>
              <w:rPr>
                <w:b w:val="0"/>
                <w:i w:val="0"/>
                <w:sz w:val="22"/>
              </w:rPr>
              <w:t>P0A565</w:t>
            </w:r>
          </w:p>
        </w:tc>
        <w:tc>
          <w:tcPr>
            <w:tcW w:type="dxa" w:w="1080"/>
          </w:tcPr>
          <w:p>
            <w:pPr>
              <w:spacing w:line="240" w:lineRule="auto"/>
              <w:jc w:val="left"/>
            </w:pPr>
            <w:r/>
            <w:r>
              <w:rPr>
                <w:b w:val="0"/>
                <w:i w:val="0"/>
                <w:sz w:val="22"/>
              </w:rPr>
              <w:t>Clinical candidate (BCG-related)</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#53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Ag85B</w:t>
            </w:r>
          </w:p>
        </w:tc>
        <w:tc>
          <w:tcPr>
            <w:tcW w:type="dxa" w:w="1080"/>
          </w:tcPr>
          <w:p>
            <w:pPr>
              <w:spacing w:line="240" w:lineRule="auto"/>
              <w:jc w:val="left"/>
            </w:pPr>
            <w:r/>
            <w:r>
              <w:rPr>
                <w:b w:val="0"/>
                <w:i w:val="0"/>
                <w:sz w:val="22"/>
              </w:rPr>
              <w:t>P0C2T2</w:t>
            </w:r>
          </w:p>
        </w:tc>
        <w:tc>
          <w:tcPr>
            <w:tcW w:type="dxa" w:w="1080"/>
          </w:tcPr>
          <w:p>
            <w:pPr>
              <w:spacing w:line="240" w:lineRule="auto"/>
              <w:jc w:val="left"/>
            </w:pPr>
            <w:r/>
            <w:r>
              <w:rPr>
                <w:b w:val="0"/>
                <w:i w:val="0"/>
                <w:sz w:val="22"/>
              </w:rPr>
              <w:t>Clinical candidate (H1/H56)</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CFP-10</w:t>
            </w:r>
          </w:p>
        </w:tc>
        <w:tc>
          <w:tcPr>
            <w:tcW w:type="dxa" w:w="1080"/>
          </w:tcPr>
          <w:p>
            <w:pPr>
              <w:spacing w:line="240" w:lineRule="auto"/>
              <w:jc w:val="left"/>
            </w:pPr>
            <w:r/>
            <w:r>
              <w:rPr>
                <w:b w:val="0"/>
                <w:i w:val="0"/>
                <w:sz w:val="22"/>
              </w:rPr>
              <w:t>P0A567</w:t>
            </w:r>
          </w:p>
        </w:tc>
        <w:tc>
          <w:tcPr>
            <w:tcW w:type="dxa" w:w="1080"/>
          </w:tcPr>
          <w:p>
            <w:pPr>
              <w:spacing w:line="240" w:lineRule="auto"/>
              <w:jc w:val="left"/>
            </w:pPr>
            <w:r/>
            <w:r>
              <w:rPr>
                <w:b w:val="0"/>
                <w:i w:val="0"/>
                <w:sz w:val="22"/>
              </w:rPr>
              <w:t>Candidate / diagnostic</w:t>
            </w:r>
          </w:p>
        </w:tc>
        <w:tc>
          <w:tcPr>
            <w:tcW w:type="dxa" w:w="1080"/>
          </w:tcPr>
          <w:p>
            <w:pPr>
              <w:spacing w:line="240" w:lineRule="auto"/>
              <w:jc w:val="left"/>
            </w:pPr>
            <w:r/>
            <w:r>
              <w:rPr>
                <w:b w:val="0"/>
                <w:i w:val="0"/>
                <w:sz w:val="22"/>
              </w:rPr>
              <w:t>#27</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MPB64</w:t>
            </w:r>
          </w:p>
        </w:tc>
        <w:tc>
          <w:tcPr>
            <w:tcW w:type="dxa" w:w="1080"/>
          </w:tcPr>
          <w:p>
            <w:pPr>
              <w:spacing w:line="240" w:lineRule="auto"/>
              <w:jc w:val="left"/>
            </w:pPr>
            <w:r/>
            <w:r>
              <w:rPr>
                <w:b w:val="0"/>
                <w:i w:val="0"/>
                <w:sz w:val="22"/>
              </w:rPr>
              <w:t>P0A5Q5</w:t>
            </w:r>
          </w:p>
        </w:tc>
        <w:tc>
          <w:tcPr>
            <w:tcW w:type="dxa" w:w="1080"/>
          </w:tcPr>
          <w:p>
            <w:pPr>
              <w:spacing w:line="240" w:lineRule="auto"/>
              <w:jc w:val="left"/>
            </w:pPr>
            <w:r/>
            <w:r>
              <w:rPr>
                <w:b w:val="0"/>
                <w:i w:val="0"/>
                <w:sz w:val="22"/>
              </w:rPr>
              <w:t>Immunodominant / diagnostic</w:t>
            </w:r>
          </w:p>
        </w:tc>
        <w:tc>
          <w:tcPr>
            <w:tcW w:type="dxa" w:w="1080"/>
          </w:tcPr>
          <w:p>
            <w:pPr>
              <w:spacing w:line="240" w:lineRule="auto"/>
              <w:jc w:val="left"/>
            </w:pPr>
            <w:r/>
            <w:r>
              <w:rPr>
                <w:b w:val="0"/>
                <w:i w:val="0"/>
                <w:sz w:val="22"/>
              </w:rPr>
              <w:t>#202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HspX</w:t>
            </w:r>
          </w:p>
        </w:tc>
        <w:tc>
          <w:tcPr>
            <w:tcW w:type="dxa" w:w="1080"/>
          </w:tcPr>
          <w:p>
            <w:pPr>
              <w:spacing w:line="240" w:lineRule="auto"/>
              <w:jc w:val="left"/>
            </w:pPr>
            <w:r/>
            <w:r>
              <w:rPr>
                <w:b w:val="0"/>
                <w:i w:val="0"/>
                <w:sz w:val="22"/>
              </w:rPr>
              <w:t>P0A5B8</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#114</w:t>
            </w:r>
          </w:p>
        </w:tc>
        <w:tc>
          <w:tcPr>
            <w:tcW w:type="dxa" w:w="1080"/>
          </w:tcPr>
          <w:p>
            <w:pPr>
              <w:spacing w:line="240" w:lineRule="auto"/>
              <w:jc w:val="left"/>
            </w:pPr>
            <w:r/>
            <w:r>
              <w:rPr>
                <w:b w:val="0"/>
                <w:i w:val="0"/>
                <w:sz w:val="22"/>
              </w:rPr>
              <w:t>#342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r>
              <w:rPr>
                <w:b w:val="0"/>
                <w:i w:val="0"/>
                <w:sz w:val="22"/>
              </w:rPr>
              <w:t>L. interrogans</w:t>
            </w:r>
          </w:p>
        </w:tc>
        <w:tc>
          <w:tcPr>
            <w:tcW w:type="dxa" w:w="1080"/>
          </w:tcPr>
          <w:p>
            <w:pPr>
              <w:spacing w:line="240" w:lineRule="auto"/>
              <w:jc w:val="left"/>
            </w:pPr>
            <w:r/>
            <w:r>
              <w:rPr>
                <w:b w:val="0"/>
                <w:i w:val="0"/>
                <w:sz w:val="22"/>
              </w:rPr>
              <w:t>LigA</w:t>
            </w:r>
          </w:p>
        </w:tc>
        <w:tc>
          <w:tcPr>
            <w:tcW w:type="dxa" w:w="1080"/>
          </w:tcPr>
          <w:p>
            <w:pPr>
              <w:spacing w:line="240" w:lineRule="auto"/>
              <w:jc w:val="left"/>
            </w:pPr>
            <w:r/>
            <w:r>
              <w:rPr>
                <w:b w:val="0"/>
                <w:i w:val="0"/>
                <w:sz w:val="22"/>
              </w:rPr>
              <w:t>Q8EYU4</w:t>
            </w:r>
          </w:p>
        </w:tc>
        <w:tc>
          <w:tcPr>
            <w:tcW w:type="dxa" w:w="1080"/>
          </w:tcPr>
          <w:p>
            <w:pPr>
              <w:spacing w:line="240" w:lineRule="auto"/>
              <w:jc w:val="left"/>
            </w:pPr>
            <w:r/>
            <w:r>
              <w:rPr>
                <w:b w:val="0"/>
                <w:i w:val="0"/>
                <w:sz w:val="22"/>
              </w:rPr>
              <w:t>Vet-licensed strain /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LigB</w:t>
            </w:r>
          </w:p>
        </w:tc>
        <w:tc>
          <w:tcPr>
            <w:tcW w:type="dxa" w:w="1080"/>
          </w:tcPr>
          <w:p>
            <w:pPr>
              <w:spacing w:line="240" w:lineRule="auto"/>
              <w:jc w:val="left"/>
            </w:pPr>
            <w:r/>
            <w:r>
              <w:rPr>
                <w:b w:val="0"/>
                <w:i w:val="0"/>
                <w:sz w:val="22"/>
              </w:rPr>
              <w:t>Q8EZS3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#171</w:t>
            </w:r>
          </w:p>
        </w:tc>
        <w:tc>
          <w:tcPr>
            <w:tcW w:type="dxa" w:w="1080"/>
          </w:tcPr>
          <w:p>
            <w:pPr>
              <w:spacing w:line="240" w:lineRule="auto"/>
              <w:jc w:val="left"/>
            </w:pPr>
            <w:r/>
            <w:r>
              <w:rPr>
                <w:b w:val="0"/>
                <w:i w:val="0"/>
                <w:sz w:val="22"/>
              </w:rPr>
              <w:t>#18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LipL32</w:t>
            </w:r>
          </w:p>
        </w:tc>
        <w:tc>
          <w:tcPr>
            <w:tcW w:type="dxa" w:w="1080"/>
          </w:tcPr>
          <w:p>
            <w:pPr>
              <w:spacing w:line="240" w:lineRule="auto"/>
              <w:jc w:val="left"/>
            </w:pPr>
            <w:r/>
            <w:r>
              <w:rPr>
                <w:b w:val="0"/>
                <w:i w:val="0"/>
                <w:sz w:val="22"/>
              </w:rPr>
              <w:t>O34094</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#145</w:t>
            </w:r>
          </w:p>
        </w:tc>
        <w:tc>
          <w:tcPr>
            <w:tcW w:type="dxa" w:w="1080"/>
          </w:tcPr>
          <w:p>
            <w:pPr>
              <w:spacing w:line="240" w:lineRule="auto"/>
              <w:jc w:val="left"/>
            </w:pPr>
            <w:r/>
            <w:r>
              <w:rPr>
                <w:b w:val="0"/>
                <w:i w:val="0"/>
                <w:sz w:val="22"/>
              </w:rPr>
              <w:t>#788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LipL41</w:t>
            </w:r>
          </w:p>
        </w:tc>
        <w:tc>
          <w:tcPr>
            <w:tcW w:type="dxa" w:w="1080"/>
          </w:tcPr>
          <w:p>
            <w:pPr>
              <w:spacing w:line="240" w:lineRule="auto"/>
              <w:jc w:val="left"/>
            </w:pPr>
            <w:r/>
            <w:r>
              <w:rPr>
                <w:b w:val="0"/>
                <w:i w:val="0"/>
                <w:sz w:val="22"/>
              </w:rPr>
              <w:t>Q8F8E1</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#107</w:t>
            </w:r>
          </w:p>
        </w:tc>
        <w:tc>
          <w:tcPr>
            <w:tcW w:type="dxa" w:w="1080"/>
          </w:tcPr>
          <w:p>
            <w:pPr>
              <w:spacing w:line="240" w:lineRule="auto"/>
              <w:jc w:val="left"/>
            </w:pPr>
            <w:r/>
            <w:r>
              <w:rPr>
                <w:b w:val="0"/>
                <w:i w:val="0"/>
                <w:sz w:val="22"/>
              </w:rPr>
              <w:t>#83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OmpL1</w:t>
            </w:r>
          </w:p>
        </w:tc>
        <w:tc>
          <w:tcPr>
            <w:tcW w:type="dxa" w:w="1080"/>
          </w:tcPr>
          <w:p>
            <w:pPr>
              <w:spacing w:line="240" w:lineRule="auto"/>
              <w:jc w:val="left"/>
            </w:pPr>
            <w:r/>
            <w:r>
              <w:rPr>
                <w:b w:val="0"/>
                <w:i w:val="0"/>
                <w:sz w:val="22"/>
              </w:rPr>
              <w:t>G1UB30</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#588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r>
              <w:rPr>
                <w:b w:val="0"/>
                <w:i w:val="0"/>
                <w:sz w:val="22"/>
              </w:rPr>
              <w:t>B. anthracis</w:t>
            </w:r>
          </w:p>
        </w:tc>
        <w:tc>
          <w:tcPr>
            <w:tcW w:type="dxa" w:w="1080"/>
          </w:tcPr>
          <w:p>
            <w:pPr>
              <w:spacing w:line="240" w:lineRule="auto"/>
              <w:jc w:val="left"/>
            </w:pPr>
            <w:r/>
            <w:r>
              <w:rPr>
                <w:b w:val="0"/>
                <w:i w:val="0"/>
                <w:sz w:val="22"/>
              </w:rPr>
              <w:t>PA (pagA)</w:t>
            </w:r>
          </w:p>
        </w:tc>
        <w:tc>
          <w:tcPr>
            <w:tcW w:type="dxa" w:w="1080"/>
          </w:tcPr>
          <w:p>
            <w:pPr>
              <w:spacing w:line="240" w:lineRule="auto"/>
              <w:jc w:val="left"/>
            </w:pPr>
            <w:r/>
            <w:r>
              <w:rPr>
                <w:b w:val="0"/>
                <w:i w:val="0"/>
                <w:sz w:val="22"/>
              </w:rPr>
              <w:t>P13423</w:t>
            </w:r>
          </w:p>
        </w:tc>
        <w:tc>
          <w:tcPr>
            <w:tcW w:type="dxa" w:w="1080"/>
          </w:tcPr>
          <w:p>
            <w:pPr>
              <w:spacing w:line="240" w:lineRule="auto"/>
              <w:jc w:val="left"/>
            </w:pPr>
            <w:r/>
            <w:r>
              <w:rPr>
                <w:b w:val="0"/>
                <w:i w:val="0"/>
                <w:sz w:val="22"/>
              </w:rPr>
              <w:t>Licensed (BioThrax/AVA, AVP)</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Rhie 2005, 10.1016/j.femsim.2005.05.009</w:t>
            </w:r>
          </w:p>
        </w:tc>
      </w:tr>
      <w:tr>
        <w:tc>
          <w:tcPr>
            <w:tcW w:type="dxa" w:w="1080"/>
          </w:tcPr>
          <w:p>
            <w:pPr>
              <w:spacing w:line="240" w:lineRule="auto"/>
              <w:jc w:val="left"/>
            </w:pPr>
            <w:r/>
          </w:p>
        </w:tc>
        <w:tc>
          <w:tcPr>
            <w:tcW w:type="dxa" w:w="1080"/>
          </w:tcPr>
          <w:p>
            <w:pPr>
              <w:spacing w:line="240" w:lineRule="auto"/>
              <w:jc w:val="left"/>
            </w:pPr>
            <w:r/>
            <w:r>
              <w:rPr>
                <w:b w:val="0"/>
                <w:i w:val="0"/>
                <w:sz w:val="22"/>
              </w:rPr>
              <w:t>LF (lef)</w:t>
            </w:r>
          </w:p>
        </w:tc>
        <w:tc>
          <w:tcPr>
            <w:tcW w:type="dxa" w:w="1080"/>
          </w:tcPr>
          <w:p>
            <w:pPr>
              <w:spacing w:line="240" w:lineRule="auto"/>
              <w:jc w:val="left"/>
            </w:pPr>
            <w:r/>
            <w:r>
              <w:rPr>
                <w:b w:val="0"/>
                <w:i w:val="0"/>
                <w:sz w:val="22"/>
              </w:rPr>
              <w:t>P15917</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#108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EF (cya)</w:t>
            </w:r>
          </w:p>
        </w:tc>
        <w:tc>
          <w:tcPr>
            <w:tcW w:type="dxa" w:w="1080"/>
          </w:tcPr>
          <w:p>
            <w:pPr>
              <w:spacing w:line="240" w:lineRule="auto"/>
              <w:jc w:val="left"/>
            </w:pPr>
            <w:r/>
            <w:r>
              <w:rPr>
                <w:b w:val="0"/>
                <w:i w:val="0"/>
                <w:sz w:val="22"/>
              </w:rPr>
              <w:t>P40136</w:t>
            </w:r>
          </w:p>
        </w:tc>
        <w:tc>
          <w:tcPr>
            <w:tcW w:type="dxa" w:w="1080"/>
          </w:tcPr>
          <w:p>
            <w:pPr>
              <w:spacing w:line="240" w:lineRule="auto"/>
              <w:jc w:val="left"/>
            </w:pPr>
            <w:r/>
            <w:r>
              <w:rPr>
                <w:b w:val="0"/>
                <w:i w:val="0"/>
                <w:sz w:val="22"/>
              </w:rPr>
              <w:t>Toxin component / candidate</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#119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CapB (γ-PGA)</w:t>
            </w:r>
          </w:p>
        </w:tc>
        <w:tc>
          <w:tcPr>
            <w:tcW w:type="dxa" w:w="1080"/>
          </w:tcPr>
          <w:p>
            <w:pPr>
              <w:spacing w:line="240" w:lineRule="auto"/>
              <w:jc w:val="left"/>
            </w:pPr>
            <w:r/>
            <w:r>
              <w:rPr>
                <w:b w:val="0"/>
                <w:i w:val="0"/>
                <w:sz w:val="22"/>
              </w:rPr>
              <w:t>P19580</w:t>
            </w:r>
          </w:p>
        </w:tc>
        <w:tc>
          <w:tcPr>
            <w:tcW w:type="dxa" w:w="1080"/>
          </w:tcPr>
          <w:p>
            <w:pPr>
              <w:spacing w:line="240" w:lineRule="auto"/>
              <w:jc w:val="left"/>
            </w:pPr>
            <w:r/>
            <w:r>
              <w:rPr>
                <w:b w:val="0"/>
                <w:i w:val="0"/>
                <w:sz w:val="22"/>
              </w:rPr>
              <w:t>Preclinical (protective adjunct)</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#1196</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Schneerson 2003, 10.1073/pnas.1633512100</w:t>
            </w:r>
          </w:p>
        </w:tc>
      </w:tr>
      <w:tr>
        <w:tc>
          <w:tcPr>
            <w:tcW w:type="dxa" w:w="1080"/>
          </w:tcPr>
          <w:p>
            <w:pPr>
              <w:spacing w:line="240" w:lineRule="auto"/>
              <w:jc w:val="left"/>
            </w:pPr>
            <w:r/>
          </w:p>
        </w:tc>
        <w:tc>
          <w:tcPr>
            <w:tcW w:type="dxa" w:w="1080"/>
          </w:tcPr>
          <w:p>
            <w:pPr>
              <w:spacing w:line="240" w:lineRule="auto"/>
              <w:jc w:val="left"/>
            </w:pPr>
            <w:r/>
            <w:r>
              <w:rPr>
                <w:b w:val="0"/>
                <w:i w:val="0"/>
                <w:sz w:val="22"/>
              </w:rPr>
              <w:t>EA1 (S-layer)</w:t>
            </w:r>
          </w:p>
        </w:tc>
        <w:tc>
          <w:tcPr>
            <w:tcW w:type="dxa" w:w="1080"/>
          </w:tcPr>
          <w:p>
            <w:pPr>
              <w:spacing w:line="240" w:lineRule="auto"/>
              <w:jc w:val="left"/>
            </w:pPr>
            <w:r/>
            <w:r>
              <w:rPr>
                <w:b w:val="0"/>
                <w:i w:val="0"/>
                <w:sz w:val="22"/>
              </w:rPr>
              <w:t>P94217</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#65</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Zhang 2007, 10.1016/j.vaccine.2007.11.072</w:t>
            </w:r>
          </w:p>
        </w:tc>
      </w:tr>
    </w:tbl>
    <w:p/>
    <w:p>
      <w:r>
        <w:rPr>
          <w:b/>
          <w:i w:val="0"/>
          <w:sz w:val="24"/>
        </w:rPr>
        <w:t>VaxForge behaves consistently on a virulent reference and three licensed vaccine strains.</w:t>
      </w:r>
      <w:r>
        <w:rPr>
          <w:b w:val="0"/>
          <w:i w:val="0"/>
          <w:sz w:val="24"/>
        </w:rPr>
        <w:t xml:space="preserve"> Reverse vaccinology is ultimately judged on the genomes that deployed vaccines are built from, so we applied VaxForge at full proteome scale to three licensed live-attenuated brucellosis vaccine strains and set the result beside the virulent reference </w:t>
      </w:r>
      <w:r>
        <w:rPr>
          <w:b w:val="0"/>
          <w:i/>
          <w:sz w:val="24"/>
        </w:rPr>
        <w:t>B. suis</w:t>
      </w:r>
      <w:r>
        <w:rPr>
          <w:b w:val="0"/>
          <w:i w:val="0"/>
          <w:sz w:val="24"/>
        </w:rPr>
        <w:t xml:space="preserve"> 1330. The strains were the two cattle vaccines </w:t>
      </w:r>
      <w:r>
        <w:rPr>
          <w:b w:val="0"/>
          <w:i/>
          <w:sz w:val="24"/>
        </w:rPr>
        <w:t>B. abortus</w:t>
      </w:r>
      <w:r>
        <w:rPr>
          <w:b w:val="0"/>
          <w:i w:val="0"/>
          <w:sz w:val="24"/>
        </w:rPr>
        <w:t xml:space="preserve"> S19 and RB51 and the Chinese small-ruminant vaccine </w:t>
      </w:r>
      <w:r>
        <w:rPr>
          <w:b w:val="0"/>
          <w:i/>
          <w:sz w:val="24"/>
        </w:rPr>
        <w:t>B. suis</w:t>
      </w:r>
      <w:r>
        <w:rPr>
          <w:b w:val="0"/>
          <w:i w:val="0"/>
          <w:sz w:val="24"/>
        </w:rPr>
        <w:t xml:space="preserve"> S2, each run on its own RefSeq proteome under default parameters (Table S2; Figure S1). In every strain VaxForge recovered the outer-membrane and periplasmic protective antigens, Omp25, BP26/Omp28 and SodC throughout and Omp31 wherever the gene is present; </w:t>
      </w:r>
      <w:r>
        <w:rPr>
          <w:b w:val="0"/>
          <w:i/>
          <w:sz w:val="24"/>
        </w:rPr>
        <w:t>omp31</w:t>
      </w:r>
      <w:r>
        <w:rPr>
          <w:b w:val="0"/>
          <w:i w:val="0"/>
          <w:sz w:val="24"/>
        </w:rPr>
        <w:t xml:space="preserve"> is deleted in </w:t>
      </w:r>
      <w:r>
        <w:rPr>
          <w:b w:val="0"/>
          <w:i/>
          <w:sz w:val="24"/>
        </w:rPr>
        <w:t>B. abortus</w:t>
      </w:r>
      <w:r>
        <w:rPr>
          <w:b w:val="0"/>
          <w:i w:val="0"/>
          <w:sz w:val="24"/>
        </w:rPr>
        <w:t xml:space="preserve">, so S19 and RB51 carry four ground-truth antigens rather than five (Cloeckaert et al., 2002). In every strain the single miss was the same protein, the cytoplasmic ribosomal antigen L7/L12, which the localisation filter removes by design exactly as it does in the virulent reference. The </w:t>
      </w:r>
      <w:r>
        <w:rPr>
          <w:b w:val="0"/>
          <w:i/>
          <w:sz w:val="24"/>
        </w:rPr>
        <w:t>B. suis</w:t>
      </w:r>
      <w:r>
        <w:rPr>
          <w:b w:val="0"/>
          <w:i w:val="0"/>
          <w:sz w:val="24"/>
        </w:rPr>
        <w:t xml:space="preserve"> S2 vaccine, which shares the five-antigen set of the virulent </w:t>
      </w:r>
      <w:r>
        <w:rPr>
          <w:b w:val="0"/>
          <w:i/>
          <w:sz w:val="24"/>
        </w:rPr>
        <w:t>B. suis</w:t>
      </w:r>
      <w:r>
        <w:rPr>
          <w:b w:val="0"/>
          <w:i w:val="0"/>
          <w:sz w:val="24"/>
        </w:rPr>
        <w:t xml:space="preserve"> 1330, reproduced its result closely (4 of 5; best rank 24 of 740; Fisher exact p = 0.015), and the two </w:t>
      </w:r>
      <w:r>
        <w:rPr>
          <w:b w:val="0"/>
          <w:i/>
          <w:sz w:val="24"/>
        </w:rPr>
        <w:t>B. abortus</w:t>
      </w:r>
      <w:r>
        <w:rPr>
          <w:b w:val="0"/>
          <w:i w:val="0"/>
          <w:sz w:val="24"/>
        </w:rPr>
        <w:t xml:space="preserve"> vaccines reached 3 of 4 (best rank 87 and 89; p = 0.055). VaxForge therefore returns the same answer on a virulent strain and its attenuated vaccine derivatives, and its one consistent omission is the by-design localisation call rather than a stochastic failure.</w:t>
      </w:r>
    </w:p>
    <w:p>
      <w:r>
        <w:rPr>
          <w:b/>
          <w:i w:val="0"/>
          <w:sz w:val="24"/>
        </w:rPr>
        <w:t>Table S2.</w:t>
      </w:r>
      <w:r>
        <w:rPr>
          <w:b w:val="0"/>
          <w:i w:val="0"/>
          <w:sz w:val="24"/>
        </w:rPr>
        <w:t xml:space="preserve"> VaxForge applied to the virulent </w:t>
      </w:r>
      <w:r>
        <w:rPr>
          <w:b w:val="0"/>
          <w:i/>
          <w:sz w:val="24"/>
        </w:rPr>
        <w:t>Brucella</w:t>
      </w:r>
      <w:r>
        <w:rPr>
          <w:b w:val="0"/>
          <w:i w:val="0"/>
          <w:sz w:val="24"/>
        </w:rPr>
        <w:t xml:space="preserve"> reference and three licensed live-attenuated vaccine strains at full proteome scale (default parameters, identical pipeline). Each cell is the antigen's rank in the VaxForge candidate list; "–" marks an antigen absent from that genome (</w:t>
      </w:r>
      <w:r>
        <w:rPr>
          <w:b w:val="0"/>
          <w:i/>
          <w:sz w:val="24"/>
        </w:rPr>
        <w:t>omp31</w:t>
      </w:r>
      <w:r>
        <w:rPr>
          <w:b w:val="0"/>
          <w:i w:val="0"/>
          <w:sz w:val="24"/>
        </w:rPr>
        <w:t xml:space="preserve"> is deleted in </w:t>
      </w:r>
      <w:r>
        <w:rPr>
          <w:b w:val="0"/>
          <w:i/>
          <w:sz w:val="24"/>
        </w:rPr>
        <w:t>B. abortus</w:t>
      </w:r>
      <w:r>
        <w:rPr>
          <w:b w:val="0"/>
          <w:i w:val="0"/>
          <w:sz w:val="24"/>
        </w:rPr>
        <w:t>) and ✗ an antigen not recovered. Recall counts recovered ground-truth antigens; the Fisher exact p tests their enrichment among candidates.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240" w:lineRule="auto"/>
              <w:jc w:val="left"/>
            </w:pPr>
            <w:r/>
            <w:r>
              <w:rPr>
                <w:b/>
                <w:i w:val="0"/>
                <w:sz w:val="22"/>
              </w:rPr>
              <w:t>Strain (status)</w:t>
            </w:r>
          </w:p>
        </w:tc>
        <w:tc>
          <w:tcPr>
            <w:tcW w:type="dxa" w:w="864"/>
          </w:tcPr>
          <w:p>
            <w:pPr>
              <w:spacing w:line="240" w:lineRule="auto"/>
              <w:jc w:val="left"/>
            </w:pPr>
            <w:r/>
            <w:r>
              <w:rPr>
                <w:b/>
                <w:i w:val="0"/>
                <w:sz w:val="22"/>
              </w:rPr>
              <w:t>Species</w:t>
            </w:r>
          </w:p>
        </w:tc>
        <w:tc>
          <w:tcPr>
            <w:tcW w:type="dxa" w:w="864"/>
          </w:tcPr>
          <w:p>
            <w:pPr>
              <w:spacing w:line="240" w:lineRule="auto"/>
              <w:jc w:val="left"/>
            </w:pPr>
            <w:r/>
            <w:r>
              <w:rPr>
                <w:b/>
                <w:i w:val="0"/>
                <w:sz w:val="22"/>
              </w:rPr>
              <w:t>Proteins</w:t>
            </w:r>
          </w:p>
        </w:tc>
        <w:tc>
          <w:tcPr>
            <w:tcW w:type="dxa" w:w="864"/>
          </w:tcPr>
          <w:p>
            <w:pPr>
              <w:spacing w:line="240" w:lineRule="auto"/>
              <w:jc w:val="left"/>
            </w:pPr>
            <w:r/>
            <w:r>
              <w:rPr>
                <w:b/>
                <w:i w:val="0"/>
                <w:sz w:val="22"/>
              </w:rPr>
              <w:t>Omp25</w:t>
            </w:r>
          </w:p>
        </w:tc>
        <w:tc>
          <w:tcPr>
            <w:tcW w:type="dxa" w:w="864"/>
          </w:tcPr>
          <w:p>
            <w:pPr>
              <w:spacing w:line="240" w:lineRule="auto"/>
              <w:jc w:val="left"/>
            </w:pPr>
            <w:r/>
            <w:r>
              <w:rPr>
                <w:b/>
                <w:i w:val="0"/>
                <w:sz w:val="22"/>
              </w:rPr>
              <w:t>Omp31</w:t>
            </w:r>
          </w:p>
        </w:tc>
        <w:tc>
          <w:tcPr>
            <w:tcW w:type="dxa" w:w="864"/>
          </w:tcPr>
          <w:p>
            <w:pPr>
              <w:spacing w:line="240" w:lineRule="auto"/>
              <w:jc w:val="left"/>
            </w:pPr>
            <w:r/>
            <w:r>
              <w:rPr>
                <w:b/>
                <w:i w:val="0"/>
                <w:sz w:val="22"/>
              </w:rPr>
              <w:t>BP26</w:t>
            </w:r>
          </w:p>
        </w:tc>
        <w:tc>
          <w:tcPr>
            <w:tcW w:type="dxa" w:w="864"/>
          </w:tcPr>
          <w:p>
            <w:pPr>
              <w:spacing w:line="240" w:lineRule="auto"/>
              <w:jc w:val="left"/>
            </w:pPr>
            <w:r/>
            <w:r>
              <w:rPr>
                <w:b/>
                <w:i w:val="0"/>
                <w:sz w:val="22"/>
              </w:rPr>
              <w:t>SodC</w:t>
            </w:r>
          </w:p>
        </w:tc>
        <w:tc>
          <w:tcPr>
            <w:tcW w:type="dxa" w:w="864"/>
          </w:tcPr>
          <w:p>
            <w:pPr>
              <w:spacing w:line="240" w:lineRule="auto"/>
              <w:jc w:val="left"/>
            </w:pPr>
            <w:r/>
            <w:r>
              <w:rPr>
                <w:b/>
                <w:i w:val="0"/>
                <w:sz w:val="22"/>
              </w:rPr>
              <w:t>L7/L12</w:t>
            </w:r>
          </w:p>
        </w:tc>
        <w:tc>
          <w:tcPr>
            <w:tcW w:type="dxa" w:w="864"/>
          </w:tcPr>
          <w:p>
            <w:pPr>
              <w:spacing w:line="240" w:lineRule="auto"/>
              <w:jc w:val="left"/>
            </w:pPr>
            <w:r/>
            <w:r>
              <w:rPr>
                <w:b/>
                <w:i w:val="0"/>
                <w:sz w:val="22"/>
              </w:rPr>
              <w:t>Recall</w:t>
            </w:r>
          </w:p>
        </w:tc>
        <w:tc>
          <w:tcPr>
            <w:tcW w:type="dxa" w:w="864"/>
          </w:tcPr>
          <w:p>
            <w:pPr>
              <w:spacing w:line="240" w:lineRule="auto"/>
              <w:jc w:val="left"/>
            </w:pPr>
            <w:r/>
            <w:r>
              <w:rPr>
                <w:b/>
                <w:i w:val="0"/>
                <w:sz w:val="22"/>
              </w:rPr>
              <w:t>Fisher p</w:t>
            </w:r>
          </w:p>
        </w:tc>
      </w:tr>
      <w:tr>
        <w:tc>
          <w:tcPr>
            <w:tcW w:type="dxa" w:w="864"/>
          </w:tcPr>
          <w:p>
            <w:pPr>
              <w:spacing w:line="240" w:lineRule="auto"/>
              <w:jc w:val="left"/>
            </w:pPr>
            <w:r/>
            <w:r>
              <w:rPr>
                <w:b w:val="0"/>
                <w:i w:val="0"/>
                <w:sz w:val="22"/>
              </w:rPr>
              <w:t>1330 (virulent reference)</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3,249</w:t>
            </w:r>
          </w:p>
        </w:tc>
        <w:tc>
          <w:tcPr>
            <w:tcW w:type="dxa" w:w="864"/>
          </w:tcPr>
          <w:p>
            <w:pPr>
              <w:spacing w:line="240" w:lineRule="auto"/>
              <w:jc w:val="left"/>
            </w:pPr>
            <w:r/>
            <w:r>
              <w:rPr>
                <w:b w:val="0"/>
                <w:i w:val="0"/>
                <w:sz w:val="22"/>
              </w:rPr>
              <w:t>#102</w:t>
            </w:r>
          </w:p>
        </w:tc>
        <w:tc>
          <w:tcPr>
            <w:tcW w:type="dxa" w:w="864"/>
          </w:tcPr>
          <w:p>
            <w:pPr>
              <w:spacing w:line="240" w:lineRule="auto"/>
              <w:jc w:val="left"/>
            </w:pPr>
            <w:r/>
            <w:r>
              <w:rPr>
                <w:b w:val="0"/>
                <w:i w:val="0"/>
                <w:sz w:val="22"/>
              </w:rPr>
              <w:t>#36</w:t>
            </w:r>
          </w:p>
        </w:tc>
        <w:tc>
          <w:tcPr>
            <w:tcW w:type="dxa" w:w="864"/>
          </w:tcPr>
          <w:p>
            <w:pPr>
              <w:spacing w:line="240" w:lineRule="auto"/>
              <w:jc w:val="left"/>
            </w:pPr>
            <w:r/>
            <w:r>
              <w:rPr>
                <w:b w:val="0"/>
                <w:i w:val="0"/>
                <w:sz w:val="22"/>
              </w:rPr>
              <w:t>#181</w:t>
            </w:r>
          </w:p>
        </w:tc>
        <w:tc>
          <w:tcPr>
            <w:tcW w:type="dxa" w:w="864"/>
          </w:tcPr>
          <w:p>
            <w:pPr>
              <w:spacing w:line="240" w:lineRule="auto"/>
              <w:jc w:val="left"/>
            </w:pPr>
            <w:r/>
            <w:r>
              <w:rPr>
                <w:b w:val="0"/>
                <w:i w:val="0"/>
                <w:sz w:val="22"/>
              </w:rPr>
              <w:t>#26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0.026</w:t>
            </w:r>
          </w:p>
        </w:tc>
      </w:tr>
      <w:tr>
        <w:tc>
          <w:tcPr>
            <w:tcW w:type="dxa" w:w="864"/>
          </w:tcPr>
          <w:p>
            <w:pPr>
              <w:spacing w:line="240" w:lineRule="auto"/>
              <w:jc w:val="left"/>
            </w:pPr>
            <w:r/>
            <w:r>
              <w:rPr>
                <w:b w:val="0"/>
                <w:i w:val="0"/>
                <w:sz w:val="22"/>
              </w:rPr>
              <w:t>RB51 (licensed, cattle)</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2,971</w:t>
            </w:r>
          </w:p>
        </w:tc>
        <w:tc>
          <w:tcPr>
            <w:tcW w:type="dxa" w:w="864"/>
          </w:tcPr>
          <w:p>
            <w:pPr>
              <w:spacing w:line="240" w:lineRule="auto"/>
              <w:jc w:val="left"/>
            </w:pPr>
            <w:r/>
            <w:r>
              <w:rPr>
                <w:b w:val="0"/>
                <w:i w:val="0"/>
                <w:sz w:val="22"/>
              </w:rPr>
              <w:t>#156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#87</w:t>
            </w:r>
          </w:p>
        </w:tc>
        <w:tc>
          <w:tcPr>
            <w:tcW w:type="dxa" w:w="864"/>
          </w:tcPr>
          <w:p>
            <w:pPr>
              <w:spacing w:line="240" w:lineRule="auto"/>
              <w:jc w:val="left"/>
            </w:pPr>
            <w:r/>
            <w:r>
              <w:rPr>
                <w:b w:val="0"/>
                <w:i w:val="0"/>
                <w:sz w:val="22"/>
              </w:rPr>
              <w:t>#524</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S19 (licensed, cattle)</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2,964</w:t>
            </w:r>
          </w:p>
        </w:tc>
        <w:tc>
          <w:tcPr>
            <w:tcW w:type="dxa" w:w="864"/>
          </w:tcPr>
          <w:p>
            <w:pPr>
              <w:spacing w:line="240" w:lineRule="auto"/>
              <w:jc w:val="left"/>
            </w:pPr>
            <w:r/>
            <w:r>
              <w:rPr>
                <w:b w:val="0"/>
                <w:i w:val="0"/>
                <w:sz w:val="22"/>
              </w:rPr>
              <w:t>#159</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#89</w:t>
            </w:r>
          </w:p>
        </w:tc>
        <w:tc>
          <w:tcPr>
            <w:tcW w:type="dxa" w:w="864"/>
          </w:tcPr>
          <w:p>
            <w:pPr>
              <w:spacing w:line="240" w:lineRule="auto"/>
              <w:jc w:val="left"/>
            </w:pPr>
            <w:r/>
            <w:r>
              <w:rPr>
                <w:b w:val="0"/>
                <w:i w:val="0"/>
                <w:sz w:val="22"/>
              </w:rPr>
              <w:t>#526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S2 (licensed, small ruminant)</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2,979</w:t>
            </w:r>
          </w:p>
        </w:tc>
        <w:tc>
          <w:tcPr>
            <w:tcW w:type="dxa" w:w="864"/>
          </w:tcPr>
          <w:p>
            <w:pPr>
              <w:spacing w:line="240" w:lineRule="auto"/>
              <w:jc w:val="left"/>
            </w:pPr>
            <w:r/>
            <w:r>
              <w:rPr>
                <w:b w:val="0"/>
                <w:i w:val="0"/>
                <w:sz w:val="22"/>
              </w:rPr>
              <w:t>#54</w:t>
            </w:r>
          </w:p>
        </w:tc>
        <w:tc>
          <w:tcPr>
            <w:tcW w:type="dxa" w:w="864"/>
          </w:tcPr>
          <w:p>
            <w:pPr>
              <w:spacing w:line="240" w:lineRule="auto"/>
              <w:jc w:val="left"/>
            </w:pPr>
            <w:r/>
            <w:r>
              <w:rPr>
                <w:b w:val="0"/>
                <w:i w:val="0"/>
                <w:sz w:val="22"/>
              </w:rPr>
              <w:t>#24</w:t>
            </w:r>
          </w:p>
        </w:tc>
        <w:tc>
          <w:tcPr>
            <w:tcW w:type="dxa" w:w="864"/>
          </w:tcPr>
          <w:p>
            <w:pPr>
              <w:spacing w:line="240" w:lineRule="auto"/>
              <w:jc w:val="left"/>
            </w:pPr>
            <w:r/>
            <w:r>
              <w:rPr>
                <w:b w:val="0"/>
                <w:i w:val="0"/>
                <w:sz w:val="22"/>
              </w:rPr>
              <w:t>#94</w:t>
            </w:r>
          </w:p>
        </w:tc>
        <w:tc>
          <w:tcPr>
            <w:tcW w:type="dxa" w:w="864"/>
          </w:tcPr>
          <w:p>
            <w:pPr>
              <w:spacing w:line="240" w:lineRule="auto"/>
              <w:jc w:val="left"/>
            </w:pPr>
            <w:r/>
            <w:r>
              <w:rPr>
                <w:b w:val="0"/>
                <w:i w:val="0"/>
                <w:sz w:val="22"/>
              </w:rPr>
              <w:t>#103</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0.015</w:t>
            </w:r>
          </w:p>
        </w:tc>
      </w:tr>
    </w:tbl>
    <w:p/>
    <w:p>
      <w:pPr>
        <w:jc w:val="center"/>
      </w:pPr>
      <w:r>
        <w:drawing>
          <wp:inline xmlns:a="http://schemas.openxmlformats.org/drawingml/2006/main" xmlns:pic="http://schemas.openxmlformats.org/drawingml/2006/picture">
            <wp:extent cx="5669280" cy="3042053"/>
            <wp:docPr id="5" name="Picture 5"/>
            <wp:cNvGraphicFramePr>
              <a:graphicFrameLocks noChangeAspect="1"/>
            </wp:cNvGraphicFramePr>
            <a:graphic>
              <a:graphicData uri="http://schemas.openxmlformats.org/drawingml/2006/picture">
                <pic:pic>
                  <pic:nvPicPr>
                    <pic:cNvPr id="0" name="figS1_brucella_vaccine.png"/>
                    <pic:cNvPicPr/>
                  </pic:nvPicPr>
                  <pic:blipFill>
                    <a:blip r:embed="rId13"/>
                    <a:stretch>
                      <a:fillRect/>
                    </a:stretch>
                  </pic:blipFill>
                  <pic:spPr>
                    <a:xfrm>
                      <a:off x="0" y="0"/>
                      <a:ext cx="5669280" cy="3042053"/>
                    </a:xfrm>
                    <a:prstGeom prst="rect"/>
                  </pic:spPr>
                </pic:pic>
              </a:graphicData>
            </a:graphic>
          </wp:inline>
        </w:drawing>
      </w:r>
    </w:p>
    <w:p>
      <w:r>
        <w:rPr>
          <w:b/>
          <w:i w:val="0"/>
          <w:sz w:val="24"/>
        </w:rPr>
        <w:t>Figure S1.</w:t>
      </w:r>
      <w:r>
        <w:rPr>
          <w:b w:val="0"/>
          <w:i w:val="0"/>
          <w:sz w:val="24"/>
        </w:rPr>
        <w:t xml:space="preserve"> VaxForge gives a consistent answer on the virulent </w:t>
      </w:r>
      <w:r>
        <w:rPr>
          <w:b w:val="0"/>
          <w:i/>
          <w:sz w:val="24"/>
        </w:rPr>
        <w:t>Brucella</w:t>
      </w:r>
      <w:r>
        <w:rPr>
          <w:b w:val="0"/>
          <w:i w:val="0"/>
          <w:sz w:val="24"/>
        </w:rPr>
        <w:t xml:space="preserve"> reference and three licensed live-attenuated vaccine strains. Each row is one protective antigen and each point is one strain's rank for that antigen in the VaxForge candidate list, so a point further left is a better rank; the candidate-list size n for each strain is in the legend. A cross in the "not recovered" column marks an antigen the strain did not return. The outer-membrane and periplasmic antigens, Omp25, Omp31, BP26/Omp28 and SodC, are recovered in every strain that carries them; Omp31 is absent from the two </w:t>
      </w:r>
      <w:r>
        <w:rPr>
          <w:b w:val="0"/>
          <w:i/>
          <w:sz w:val="24"/>
        </w:rPr>
        <w:t>B. abortus</w:t>
      </w:r>
      <w:r>
        <w:rPr>
          <w:b w:val="0"/>
          <w:i w:val="0"/>
          <w:sz w:val="24"/>
        </w:rPr>
        <w:t xml:space="preserve"> vaccines because the gene is deleted in that species (Cloeckaert et al., 2002); and the cytoplasmic ribosomal antigen L7/L12 is removed by the localisation filter in all four strains, the same by-design call seen in the virulent reference.</w:t>
      </w:r>
    </w:p>
    <w:p>
      <w:r>
        <w:rPr>
          <w:b/>
          <w:i w:val="0"/>
          <w:sz w:val="24"/>
        </w:rPr>
        <w:t>Host selection changes the predicted epitope repertoire, a dimension the comparators cannot address.</w:t>
      </w:r>
      <w:r>
        <w:rPr>
          <w:b w:val="0"/>
          <w:i w:val="0"/>
          <w:sz w:val="24"/>
        </w:rPr>
        <w:t xml:space="preserve"> VaxForge draws binding predictions from curated allele panels for four hosts, human, mouse, bovine and pig (Table 4), taken from IMGT/HLA for human and IPD-MHC for the others. For human, mouse and bovine, both class I and class II run on real NetMHCpan and NetMHCIIpan models, including the BoLA-DRB3 class II panel for cattle; pig class I is real while its class II rests on a single validated allele. The panels are representative subsets rather than the complete databases, and invalid allele names are dropped at runtime, so the reported epitopes are conservative.</w:t>
      </w:r>
    </w:p>
    <w:p>
      <w:r>
        <w:rPr>
          <w:b/>
          <w:i w:val="0"/>
          <w:sz w:val="24"/>
        </w:rPr>
        <w:t>Table 4.</w:t>
      </w:r>
      <w:r>
        <w:rPr>
          <w:b w:val="0"/>
          <w:i w:val="0"/>
          <w:sz w:val="24"/>
        </w:rPr>
        <w:t xml:space="preserve">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The viral arm was built to exercise this host-specific presentation, and we expanded it to ten viruses that all four mammalian hosts naturally infect, spanning seven families (Rhabdoviridae, Togaviridae, Flaviviridae, Phenuiviridae, Picornaviridae, Reoviridae and Poxviridae). For each virus the ground-truth antigen was the protein carrying the protective, patented or licensed vaccine target (for example the rabies and vesicular-stomatitis glycoprotein G, the alphavirus E2, the flavivirus envelope E, the bunyavirus Gn/Gc, the orthopoxvirus L1R and the picornavirus capsid VP1; patents and evidence in `PATENTED_VACCINES.md`). Viral envelope and capsid antigens are the intended vaccine targets yet are membrane-embedded, so a transmembrane-count filter tuned for bacteria discards them; we therefore made that filter soft for the viral profile and added a surface-exposure signal (Methods). With this in place VaxForge recovered the protective antigen within the top quartile of candidates for eight of the ten viruses, placing it first for Getah, Rift Valley fever and Japanese encephalitis and second for rabies, vesicular stomatitis and Venezuelan equine encephalitis (Table 5; Figure 6). Against Vaxign-ML the head-to-head was mixed and honestly so: VaxForge ranked the target higher on four viruses, Vaxign-ML on four, and the two tied on two, confirming that neither general ranker dominates on viral antigens. The one clear VaxForge weakness, reovirus σ1 at rank 9 of 11, is explained rather than hidden: σ1 is a fibre protein with no membrane anchor, so it receives no surface-exposure credit, whereas Vaxign-ML placed it first; this is a genuine limitation of anchoring the viral signal on membrane topology.</w:t>
      </w:r>
    </w:p>
    <w:p>
      <w:r>
        <w:rPr>
          <w:b w:val="0"/>
          <w:i w:val="0"/>
          <w:sz w:val="24"/>
        </w:rPr>
        <w:t>The capability that separates VaxForge from both comparators, however, is not the ranking but the host dimension, and it held across all ten viruses. For every virus the ground-truth-antigen epitope set differed between host species, with pairwise host Jaccard overlap below one in every case and, for several viruses, host pairs that shared no epitopes at all (Table 5; Figure 7). NERVE 2.0 cannot run on viruses, and Vaxign-ML returns a single host-free protegenicity score (it ranked rabies glycoprotein G fourth of five with no host resolution), so this per-host repertoire is unique to VaxForge among the three. Because each virus presents a single protective antigen, the rank statistic is descriptive rather than inferential, and population-coverage data were reported as unavailable for non-human hosts rather than imputed.</w:t>
      </w:r>
    </w:p>
    <w:p>
      <w:r>
        <w:rPr>
          <w:b/>
          <w:i w:val="0"/>
          <w:sz w:val="24"/>
        </w:rPr>
        <w:t>Table 5.</w:t>
      </w:r>
      <w:r>
        <w:rPr>
          <w:b w:val="0"/>
          <w:i w:val="0"/>
          <w:sz w:val="24"/>
        </w:rPr>
        <w:t xml:space="preserve"> Host-specific epitope resolution and VaxForge–Vaxign-ML head-to-head across ten four-host viruses. Rank is the ground-truth antigen's position in each tool's candidate list; NERVE 2.0 is omitted because it cannot process viral proteomes. Jaccard is the mean (range) host-pair overlap of the ground-truth-antigen epitopes; below one means host choice changes the repertoire.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Virus (species)</w:t>
            </w:r>
          </w:p>
        </w:tc>
        <w:tc>
          <w:tcPr>
            <w:tcW w:type="dxa" w:w="1728"/>
          </w:tcPr>
          <w:p>
            <w:pPr>
              <w:spacing w:line="240" w:lineRule="auto"/>
              <w:jc w:val="left"/>
            </w:pPr>
            <w:r/>
            <w:r>
              <w:rPr>
                <w:b/>
                <w:i w:val="0"/>
                <w:sz w:val="22"/>
              </w:rPr>
              <w:t>Ground-truth antigen</w:t>
            </w:r>
          </w:p>
        </w:tc>
        <w:tc>
          <w:tcPr>
            <w:tcW w:type="dxa" w:w="1728"/>
          </w:tcPr>
          <w:p>
            <w:pPr>
              <w:spacing w:line="240" w:lineRule="auto"/>
              <w:jc w:val="left"/>
            </w:pPr>
            <w:r/>
            <w:r>
              <w:rPr>
                <w:b/>
                <w:i w:val="0"/>
                <w:sz w:val="22"/>
              </w:rPr>
              <w:t>VaxForge rank</w:t>
            </w:r>
          </w:p>
        </w:tc>
        <w:tc>
          <w:tcPr>
            <w:tcW w:type="dxa" w:w="1728"/>
          </w:tcPr>
          <w:p>
            <w:pPr>
              <w:spacing w:line="240" w:lineRule="auto"/>
              <w:jc w:val="left"/>
            </w:pPr>
            <w:r/>
            <w:r>
              <w:rPr>
                <w:b/>
                <w:i w:val="0"/>
                <w:sz w:val="22"/>
              </w:rPr>
              <w:t>Vaxign-ML rank</w:t>
            </w:r>
          </w:p>
        </w:tc>
        <w:tc>
          <w:tcPr>
            <w:tcW w:type="dxa" w:w="1728"/>
          </w:tcPr>
          <w:p>
            <w:pPr>
              <w:spacing w:line="240" w:lineRule="auto"/>
              <w:jc w:val="left"/>
            </w:pPr>
            <w:r/>
            <w:r>
              <w:rPr>
                <w:b/>
                <w:i w:val="0"/>
                <w:sz w:val="22"/>
              </w:rPr>
              <w:t>Host-pair epitope Jaccard, mean (range)</w:t>
            </w:r>
          </w:p>
        </w:tc>
      </w:tr>
      <w:tr>
        <w:tc>
          <w:tcPr>
            <w:tcW w:type="dxa" w:w="1728"/>
          </w:tcPr>
          <w:p>
            <w:pPr>
              <w:spacing w:line="240" w:lineRule="auto"/>
              <w:jc w:val="left"/>
            </w:pPr>
            <w:r/>
            <w:r>
              <w:rPr>
                <w:b w:val="0"/>
                <w:i w:val="0"/>
                <w:sz w:val="22"/>
              </w:rPr>
              <w:t>Rabies virus (Lyssavirus rabies)</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Vesicular stomatitis Indiana virus (Vesiculovirus indiana)</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Encephalomyocarditis virus (Cardiovirus A)</w:t>
            </w:r>
          </w:p>
        </w:tc>
        <w:tc>
          <w:tcPr>
            <w:tcW w:type="dxa" w:w="1728"/>
          </w:tcPr>
          <w:p>
            <w:pPr>
              <w:spacing w:line="240" w:lineRule="auto"/>
              <w:jc w:val="left"/>
            </w:pPr>
            <w:r/>
            <w:r>
              <w:rPr>
                <w:b w:val="0"/>
                <w:i w:val="0"/>
                <w:sz w:val="22"/>
              </w:rPr>
              <w:t>capsid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Valley fever virus (Phlebovirus riftense)</w:t>
            </w:r>
          </w:p>
        </w:tc>
        <w:tc>
          <w:tcPr>
            <w:tcW w:type="dxa" w:w="1728"/>
          </w:tcPr>
          <w:p>
            <w:pPr>
              <w:spacing w:line="240" w:lineRule="auto"/>
              <w:jc w:val="left"/>
            </w:pPr>
            <w:r/>
            <w:r>
              <w:rPr>
                <w:b w:val="0"/>
                <w:i w:val="0"/>
                <w:sz w:val="22"/>
              </w:rPr>
              <w:t>glycoprotein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Venezuelan equine encephalitis virus (Alphavirus VEE)</w:t>
            </w:r>
          </w:p>
        </w:tc>
        <w:tc>
          <w:tcPr>
            <w:tcW w:type="dxa" w:w="1728"/>
          </w:tcPr>
          <w:p>
            <w:pPr>
              <w:spacing w:line="240" w:lineRule="auto"/>
              <w:jc w:val="left"/>
            </w:pPr>
            <w:r/>
            <w:r>
              <w:rPr>
                <w:b w:val="0"/>
                <w:i w:val="0"/>
                <w:sz w:val="22"/>
              </w:rPr>
              <w:t>E2 glycoprotein</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virus (Alphavirus getah)</w:t>
            </w:r>
          </w:p>
        </w:tc>
        <w:tc>
          <w:tcPr>
            <w:tcW w:type="dxa" w:w="1728"/>
          </w:tcPr>
          <w:p>
            <w:pPr>
              <w:spacing w:line="240" w:lineRule="auto"/>
              <w:jc w:val="left"/>
            </w:pPr>
            <w:r/>
            <w:r>
              <w:rPr>
                <w:b w:val="0"/>
                <w:i w:val="0"/>
                <w:sz w:val="22"/>
              </w:rPr>
              <w:t>structural polyprotein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Japanese encephalitis virus (Orthoflavivirus japonicum)</w:t>
            </w:r>
          </w:p>
        </w:tc>
        <w:tc>
          <w:tcPr>
            <w:tcW w:type="dxa" w:w="1728"/>
          </w:tcPr>
          <w:p>
            <w:pPr>
              <w:spacing w:line="240" w:lineRule="auto"/>
              <w:jc w:val="left"/>
            </w:pPr>
            <w:r/>
            <w:r>
              <w:rPr>
                <w:b w:val="0"/>
                <w:i w:val="0"/>
                <w:sz w:val="22"/>
              </w:rPr>
              <w:t>envelope protein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Mammalian orthoreovirus (Orthoreovirus mammalis)</w:t>
            </w:r>
          </w:p>
        </w:tc>
        <w:tc>
          <w:tcPr>
            <w:tcW w:type="dxa" w:w="1728"/>
          </w:tcPr>
          <w:p>
            <w:pPr>
              <w:spacing w:line="240" w:lineRule="auto"/>
              <w:jc w:val="left"/>
            </w:pPr>
            <w:r/>
            <w:r>
              <w:rPr>
                <w:b w:val="0"/>
                <w:i w:val="0"/>
                <w:sz w:val="22"/>
              </w:rPr>
              <w:t>σ1 attachment protein</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virus (Orthopoxvirus vaccinia)</w:t>
            </w:r>
          </w:p>
        </w:tc>
        <w:tc>
          <w:tcPr>
            <w:tcW w:type="dxa" w:w="1728"/>
          </w:tcPr>
          <w:p>
            <w:pPr>
              <w:spacing w:line="240" w:lineRule="auto"/>
              <w:jc w:val="left"/>
            </w:pPr>
            <w:r/>
            <w:r>
              <w:rPr>
                <w:b w:val="0"/>
                <w:i w:val="0"/>
                <w:sz w:val="22"/>
              </w:rPr>
              <w:t>L1R (IMV membrane)</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virus (Orthopoxvirus cowpox)</w:t>
            </w:r>
          </w:p>
        </w:tc>
        <w:tc>
          <w:tcPr>
            <w:tcW w:type="dxa" w:w="1728"/>
          </w:tcPr>
          <w:p>
            <w:pPr>
              <w:spacing w:line="240" w:lineRule="auto"/>
              <w:jc w:val="left"/>
            </w:pPr>
            <w:r/>
            <w:r>
              <w:rPr>
                <w:b w:val="0"/>
                <w:i w:val="0"/>
                <w:sz w:val="22"/>
              </w:rPr>
              <w:t>L1R ortholog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6" name="Picture 6"/>
            <wp:cNvGraphicFramePr>
              <a:graphicFrameLocks noChangeAspect="1"/>
            </wp:cNvGraphicFramePr>
            <a:graphic>
              <a:graphicData uri="http://schemas.openxmlformats.org/drawingml/2006/picture">
                <pic:pic>
                  <pic:nvPicPr>
                    <pic:cNvPr id="0" name="fig6_virus_antigen_rank.png"/>
                    <pic:cNvPicPr/>
                  </pic:nvPicPr>
                  <pic:blipFill>
                    <a:blip r:embed="rId14"/>
                    <a:stretch>
                      <a:fillRect/>
                    </a:stretch>
                  </pic:blipFill>
                  <pic:spPr>
                    <a:xfrm>
                      <a:off x="0" y="0"/>
                      <a:ext cx="5669280" cy="3878981"/>
                    </a:xfrm>
                    <a:prstGeom prst="rect"/>
                  </pic:spPr>
                </pic:pic>
              </a:graphicData>
            </a:graphic>
          </wp:inline>
        </w:drawing>
      </w:r>
    </w:p>
    <w:p>
      <w:r>
        <w:rPr>
          <w:b/>
          <w:i w:val="0"/>
          <w:sz w:val="24"/>
        </w:rPr>
        <w:t>Figure 6.</w:t>
      </w:r>
      <w:r>
        <w:rPr>
          <w:b w:val="0"/>
          <w:i w:val="0"/>
          <w:sz w:val="24"/>
        </w:rPr>
        <w:t xml:space="preserve"> Recovery of the protective or patented antigen across ten viruses, VaxForge versus Vaxign-ML. Each pair of bars is one virus; bar length is the ground-truth antigen's rank expressed as a percentile of that tool's candidate list (shorter is better), with the absolute rank labelled. The dotted line marks the top quartile. NERVE 2.0 is absent because it cannot process viral proteomes. Neither tool dominates: VaxForge leads on four viruses, Vaxign-ML on four, and the two tie on two.</w:t>
      </w:r>
    </w:p>
    <w:p>
      <w:pPr>
        <w:jc w:val="center"/>
      </w:pPr>
      <w:r>
        <w:drawing>
          <wp:inline xmlns:a="http://schemas.openxmlformats.org/drawingml/2006/main" xmlns:pic="http://schemas.openxmlformats.org/drawingml/2006/picture">
            <wp:extent cx="5669280" cy="3563547"/>
            <wp:docPr id="7" name="Picture 7"/>
            <wp:cNvGraphicFramePr>
              <a:graphicFrameLocks noChangeAspect="1"/>
            </wp:cNvGraphicFramePr>
            <a:graphic>
              <a:graphicData uri="http://schemas.openxmlformats.org/drawingml/2006/picture">
                <pic:pic>
                  <pic:nvPicPr>
                    <pic:cNvPr id="0" name="fig7_virus_multihost.png"/>
                    <pic:cNvPicPr/>
                  </pic:nvPicPr>
                  <pic:blipFill>
                    <a:blip r:embed="rId15"/>
                    <a:stretch>
                      <a:fillRect/>
                    </a:stretch>
                  </pic:blipFill>
                  <pic:spPr>
                    <a:xfrm>
                      <a:off x="0" y="0"/>
                      <a:ext cx="5669280" cy="3563547"/>
                    </a:xfrm>
                    <a:prstGeom prst="rect"/>
                  </pic:spPr>
                </pic:pic>
              </a:graphicData>
            </a:graphic>
          </wp:inline>
        </w:drawing>
      </w:r>
    </w:p>
    <w:p>
      <w:r>
        <w:rPr>
          <w:b/>
          <w:i w:val="0"/>
          <w:sz w:val="24"/>
        </w:rPr>
        <w:t>Figure 7.</w:t>
      </w:r>
      <w:r>
        <w:rPr>
          <w:b w:val="0"/>
          <w:i w:val="0"/>
          <w:sz w:val="24"/>
        </w:rPr>
        <w:t xml:space="preserve"> Host selection reshapes the predicted epitope repertoire in every virus. Each row is one virus; the bar spans the minimum-to-maximum pairwise host Jaccard overlap of the ground-truth-antigen epitopes and the dot is the mean. A value of one would mean two hosts share an identical epitope set. Every virus falls below one, and several reach zero for at least one host pair, so the epitopes predicted for one host do not transfer to another. This host dimension is unavailable in both comparators.</w:t>
      </w:r>
    </w:p>
    <w:p>
      <w:pPr>
        <w:jc w:val="center"/>
      </w:pPr>
      <w:r>
        <w:drawing>
          <wp:inline xmlns:a="http://schemas.openxmlformats.org/drawingml/2006/main" xmlns:pic="http://schemas.openxmlformats.org/drawingml/2006/picture">
            <wp:extent cx="5669280" cy="3350029"/>
            <wp:docPr id="8" name="Picture 8"/>
            <wp:cNvGraphicFramePr>
              <a:graphicFrameLocks noChangeAspect="1"/>
            </wp:cNvGraphicFramePr>
            <a:graphic>
              <a:graphicData uri="http://schemas.openxmlformats.org/drawingml/2006/picture">
                <pic:pic>
                  <pic:nvPicPr>
                    <pic:cNvPr id="0" name="fig5_multihost_jaccard.png"/>
                    <pic:cNvPicPr/>
                  </pic:nvPicPr>
                  <pic:blipFill>
                    <a:blip r:embed="rId16"/>
                    <a:stretch>
                      <a:fillRect/>
                    </a:stretch>
                  </pic:blipFill>
                  <pic:spPr>
                    <a:xfrm>
                      <a:off x="0" y="0"/>
                      <a:ext cx="5669280" cy="3350029"/>
                    </a:xfrm>
                    <a:prstGeom prst="rect"/>
                  </pic:spPr>
                </pic:pic>
              </a:graphicData>
            </a:graphic>
          </wp:inline>
        </w:drawing>
      </w:r>
    </w:p>
    <w:p>
      <w:r>
        <w:rPr>
          <w:b/>
          <w:i w:val="0"/>
          <w:sz w:val="24"/>
        </w:rPr>
        <w:t>Figure 5.</w:t>
      </w:r>
      <w:r>
        <w:rPr>
          <w:b w:val="0"/>
          <w:i w:val="0"/>
          <w:sz w:val="24"/>
        </w:rPr>
        <w:t xml:space="preserve"> Host selection reshapes the rabies glycoprotein G epitope repertoire, shown pairwise. Each bar is one pair of host species (for example human–pig), and its value is the Jaccard overlap between the glycoprotein G epitopes predicted for those two hosts: 1 would mean the two hosts share an identical epitope set and 0 means they share none. Every pair falls below one, so the epitopes predicted for one host do not fully transfer to another and the choice of host changes the predicted repertoire.</w:t>
      </w:r>
    </w:p>
    <w:p>
      <w:pPr>
        <w:spacing w:before="200"/>
      </w:pPr>
      <w:r>
        <w:rPr>
          <w:b/>
          <w:i w:val="0"/>
          <w:sz w:val="26"/>
        </w:rPr>
        <w:t>Discussion</w:t>
      </w:r>
    </w:p>
    <w:p>
      <w:r>
        <w:rPr>
          <w:b w:val="0"/>
          <w:i w:val="0"/>
          <w:sz w:val="24"/>
        </w:rPr>
        <w:t xml:space="preserve">Benchmarks of reverse vaccinology tools have usually reported enrichment or classifier accuracy on curated positive and negative sets (Goodswen et al., 2023). Our comparison adds a measure that is more decisive for a user: how many independently validated protective antigens each tool actually returns. On the licensed 4CMenB antigens (Pizza et al., 2000; Giuliani et al., 2006), VaxForge and Vaxign-ML recovered all four while NERVE 2.0 recovered one, and across nine further bacteria at full proteome scale VaxForge reached 33 of 44 against 43 of 44 for Vaxign-ML and 13 of 44 for NERVE 2.0. The high recall of the independent machine-learning classifier is in line with the performance Ong et al. (2020) reported for Vaxign-ML, which strengthens these recall estimates rather than leaving them tool-specific. VaxForge trailed Vaxign-ML on two species, </w:t>
      </w:r>
      <w:r>
        <w:rPr>
          <w:b w:val="0"/>
          <w:i/>
          <w:sz w:val="24"/>
        </w:rPr>
        <w:t>C. burnetii</w:t>
      </w:r>
      <w:r>
        <w:rPr>
          <w:b w:val="0"/>
          <w:i w:val="0"/>
          <w:sz w:val="24"/>
        </w:rPr>
        <w:t xml:space="preserve"> and </w:t>
      </w:r>
      <w:r>
        <w:rPr>
          <w:b w:val="0"/>
          <w:i/>
          <w:sz w:val="24"/>
        </w:rPr>
        <w:t>S. suis</w:t>
      </w:r>
      <w:r>
        <w:rPr>
          <w:b w:val="0"/>
          <w:i w:val="0"/>
          <w:sz w:val="24"/>
        </w:rPr>
        <w:t>, whose protective antigens are cytoplasmic moonlighting proteins that its localisation filter removes; this marks the practical boundary of a localisation-gated funnel and the point at which a user chasing a non-classical surface antigen would relax that gate. NERVE 2.0's shortfall traces to its hard selection cascade (Conte et al., 2024): antigens that its own score rated highly were removed by fixed localisation and adhesin cut-offs, which raised fold enrichment while lowering recall.</w:t>
      </w:r>
    </w:p>
    <w:p>
      <w:r>
        <w:rPr>
          <w:b w:val="0"/>
          <w:i w:val="0"/>
          <w:sz w:val="24"/>
        </w:rPr>
        <w:t>The clearest case is the Neisserial Heparin Binding Antigen, a licensed 4CMenB component that is not a classical virulence factor and is absent from curated virulence databases (Giuliani et al., 2006). Any pipeline that gates on a virulence-database hit loses it, whereas VaxForge's soft, score-weighted use of that evidence keeps it. This is consistent with a recurring caution in the reverse vaccinology methodology literature that rigid filters trade sensitivity for apparent specificity (Goodswen et al., 2023), and it argues for reporting recall over known antigens, not fold enrichment alone, when tools are compared.</w:t>
      </w:r>
    </w:p>
    <w:p>
      <w:r>
        <w:rPr>
          <w:b w:val="0"/>
          <w:i w:val="0"/>
          <w:sz w:val="24"/>
        </w:rPr>
        <w:t>The second distinguishing feature, host-specific epitope prediction, addresses a gap that bacterial-oriented tools leave open. NetMHCpan and NetMHCIIpan already support many non-human alleles (Reynisson et al., 2020), yet reverse vaccinology pipelines typically apply them against a single human reference. Because all ten viruses infect the four mammalian hosts examined (Cox et al., 1977; Fooks et al., 2017), we could compute an honest per-host repertoire for each, and the ground-truth-antigen epitope sets differed between species in every case (mean pairwise Jaccard 0.33 to 0.62, with some host pairs sharing no epitopes at all). For the veterinary and zoonotic targets that dominate the practical vaccine burden (Fooks et al., 2017; Hampson et al., 2015), a human-only epitope layer would misstate presentation, so this capability is a concrete advantage rather than a cosmetic one. On antigen ranking alone, neither VaxForge nor Vaxign-ML dominated across the ten viruses, which is the honest result for two general rankers applied to viral proteomes; the value VaxForge adds is the host dimension and the downstream construct rather than a uniformly higher rank. VaxForge also continues past ranking into construct assembly and an in silico immunisation readout, so its output is a candidate immunogen rather than a list.</w:t>
      </w:r>
    </w:p>
    <w:p>
      <w:r>
        <w:rPr>
          <w:b w:val="0"/>
          <w:i w:val="0"/>
          <w:sz w:val="24"/>
        </w:rPr>
        <w:t xml:space="preserve">Several limitations bound these claims. ActA of </w:t>
      </w:r>
      <w:r>
        <w:rPr>
          <w:b w:val="0"/>
          <w:i/>
          <w:sz w:val="24"/>
        </w:rPr>
        <w:t>L. monocytogenes</w:t>
      </w:r>
      <w:r>
        <w:rPr>
          <w:b w:val="0"/>
          <w:i w:val="0"/>
          <w:sz w:val="24"/>
        </w:rPr>
        <w:t xml:space="preserve"> was missed by VaxForge and also ranked last by the independent tool, so it is a genuinely difficult target rather than a pipeline fault; its recovery would need conformational or context-specific signals that a linear-epitope pipeline does not model, and most B-cell epitopes are in any case discontinuous (Michalik et al., 2016). The default toxicity filter can discard peptides from toxin antigens such as listeriolysin O, a conservative choice we did not tune for the benchmark. We report area-under-curve only as a secondary measure with an explicit small-sample caveat, because four to five positives per pathogen cannot resolve AUC differences, and we make no claim of superior discrimination on that basis. Finally, whole-proteome VaxForge runs are impractical on current CPU-only hardware, so the meningococcal comparison used matched subsamples that are fair across tools while full proteomes were run only for the faster comparators.</w:t>
      </w:r>
    </w:p>
    <w:p>
      <w:r>
        <w:rPr>
          <w:b w:val="0"/>
          <w:i w:val="0"/>
          <w:sz w:val="24"/>
        </w:rPr>
        <w:t>Two directions follow. A GPU backend would allow whole-proteome VaxForge runs and complete the head-to-head at full scale for every pathogen, and the cross-species divergence of the viral glycoprotein epitopes is a concrete hypothesis that binding and immunisation experiments could test. Both extensions fit the existing framework without redesign.</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Cloeckaert, A., Vizcaíno, N., Paquet, J. Y., Bowden, R. A., &amp; Elzer, P. H. (2002). Major outer membrane proteins of </w:t>
      </w:r>
      <w:r>
        <w:rPr>
          <w:b w:val="0"/>
          <w:i/>
          <w:sz w:val="24"/>
        </w:rPr>
        <w:t>Brucella</w:t>
      </w:r>
      <w:r>
        <w:rPr>
          <w:b w:val="0"/>
          <w:i w:val="0"/>
          <w:sz w:val="24"/>
        </w:rPr>
        <w:t xml:space="preserve"> spp.: past, present and future. </w:t>
      </w:r>
      <w:r>
        <w:rPr>
          <w:b w:val="0"/>
          <w:i/>
          <w:sz w:val="24"/>
        </w:rPr>
        <w:t>Veterinary Microbiology, 90</w:t>
      </w:r>
      <w:r>
        <w:rPr>
          <w:b w:val="0"/>
          <w:i w:val="0"/>
          <w:sz w:val="24"/>
        </w:rPr>
        <w:t>(1–4), 229–247. https://doi.org/10.1016/s0378-1135(02)00211-0</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