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On the meningococcal exemplar VaxForge recovered all four licensed 4CMenB antigens, matching Vaxign-ML, where NERVE 2.0 recovered only one. Across nine further zoonotic bacteria run at full proteome scale, spanning genome sizes from 2.0 to 5.5 Mb and forty-four protective antigens, VaxForge recovered 33, below the sequence-only classifier Vaxign-ML (43 of 44) but well ahead of NERVE 2.0 (13 of 44), while placing protective antigens at competitive or higher ranks (for example iron-regulated surface determinant B at rank 4 of 2,889 proteins). VaxForge matched Vaxign-ML on species whose protective antigens are secreted or surface-exposed and fell behind only on two species whose antigens are cytoplasmic proteins that moonlight on the cell surface, which its localisation filter removes by design, an interpretable trade-off rather than an artefact. NERVE 2.0 reached higher fold enrichment but only by discarding surface antigens under its hard selection cascade, returning none for four of the nine species, which shows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ten bacteria and ten viruses, and we report a pipeline validation that surfaced and fixed three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nine bacteria and genome scale, with an honest limit on non-classical antigens.</w:t>
      </w:r>
      <w:r>
        <w:rPr>
          <w:b w:val="0"/>
          <w:i w:val="0"/>
          <w:sz w:val="24"/>
        </w:rPr>
        <w:t xml:space="preserve"> To move well beyond a single exemplar we ran nine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forty-four protective antigens of these nine species VaxForge recovered 33 (Figure 4), below the sequence-only classifier Vaxign-ML, which recovered 43, and well ahead of NERVE 2.0, which recovered 13. VaxForge reached 4 of 5 or 5 of 5 on seven of the nine species, including </w:t>
      </w:r>
      <w:r>
        <w:rPr>
          <w:b w:val="0"/>
          <w:i/>
          <w:sz w:val="24"/>
        </w:rPr>
        <w:t>Staphylococcus aureus</w:t>
      </w:r>
      <w:r>
        <w:rPr>
          <w:b w:val="0"/>
          <w:i w:val="0"/>
          <w:sz w:val="24"/>
        </w:rPr>
        <w:t xml:space="preserve"> (iron-regulated surface determinant B at rank 4 of 2,889), </w:t>
      </w:r>
      <w:r>
        <w:rPr>
          <w:b w:val="0"/>
          <w:i/>
          <w:sz w:val="24"/>
        </w:rPr>
        <w:t>Salmonella enterica</w:t>
      </w:r>
      <w:r>
        <w:rPr>
          <w:b w:val="0"/>
          <w:i w:val="0"/>
          <w:sz w:val="24"/>
        </w:rPr>
        <w:t xml:space="preserve"> serovar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and </w:t>
      </w:r>
      <w:r>
        <w:rPr>
          <w:b w:val="0"/>
          <w:i/>
          <w:sz w:val="24"/>
        </w:rPr>
        <w:t>Bacillus anthracis</w:t>
      </w:r>
      <w:r>
        <w:rPr>
          <w:b w:val="0"/>
          <w:i w:val="0"/>
          <w:sz w:val="24"/>
        </w:rPr>
        <w:t xml:space="preserve">, for which the anthrax protective antigen was among those recovered. NERVE 2.0 again discarded surface antigens under its hard selection cascade, returning none of the protective antigens for four of the nine species, even where, as on </w:t>
      </w:r>
      <w:r>
        <w:rPr>
          <w:b w:val="0"/>
          <w:i/>
          <w:sz w:val="24"/>
        </w:rPr>
        <w:t>B. suis</w:t>
      </w:r>
      <w:r>
        <w:rPr>
          <w:b w:val="0"/>
          <w:i w:val="0"/>
          <w:sz w:val="24"/>
        </w:rPr>
        <w:t xml:space="preserve"> and </w:t>
      </w:r>
      <w:r>
        <w:rPr>
          <w:b w:val="0"/>
          <w:i/>
          <w:sz w:val="24"/>
        </w:rPr>
        <w:t>B. anthracis</w:t>
      </w:r>
      <w:r>
        <w:rPr>
          <w:b w:val="0"/>
          <w:i w:val="0"/>
          <w:sz w:val="24"/>
        </w:rPr>
        <w:t>, it reached the highest fold enrichment of any tool.</w:t>
      </w:r>
    </w:p>
    <w:p>
      <w:r>
        <w:rPr>
          <w:b w:val="0"/>
          <w:i w:val="0"/>
          <w:sz w:val="24"/>
        </w:rPr>
        <w:t xml:space="preserve">The two species where VaxForge fell behind, </w:t>
      </w:r>
      <w:r>
        <w:rPr>
          <w:b w:val="0"/>
          <w:i/>
          <w:sz w:val="24"/>
        </w:rPr>
        <w:t>Coxiella burnetii</w:t>
      </w:r>
      <w:r>
        <w:rPr>
          <w:b w:val="0"/>
          <w:i w:val="0"/>
          <w:sz w:val="24"/>
        </w:rPr>
        <w:t xml:space="preserve"> (2 of 4) and </w:t>
      </w:r>
      <w:r>
        <w:rPr>
          <w:b w:val="0"/>
          <w:i/>
          <w:sz w:val="24"/>
        </w:rPr>
        <w:t>Streptococcus suis</w:t>
      </w:r>
      <w:r>
        <w:rPr>
          <w:b w:val="0"/>
          <w:i w:val="0"/>
          <w:sz w:val="24"/>
        </w:rPr>
        <w:t xml:space="preserve"> (1 of 5), expose a real and interpretable limit rather than a defect. The antigens it missed there, glyceraldehyde-3-phosphate dehydrogenase, enolase, 6-phosphogluconate dehydrogenase and the DnaJ and GroEL chaperones, are classically cytoplasmic proteins that moonlight on the cell surface. VaxForge removes them at its localisation hard filter by design, whereas Vaxign-ML, which scores sequence directly with no localisation gate, retains them. The behaviour is therefore a deliberate trade-off: the localisation filter suppresses cytoplasmic false positives at whole-proteome scale but also excludes non-classical surface antigens, and a user targeting a moonlighting antigen would relax that filter. On the species where both tools reached full recall VaxForge placed the protective antigens at competitive or higher ranks, and its single miss on </w:t>
      </w:r>
      <w:r>
        <w:rPr>
          <w:b w:val="0"/>
          <w:i/>
          <w:sz w:val="24"/>
        </w:rPr>
        <w:t>L. monocytogenes</w:t>
      </w:r>
      <w:r>
        <w:rPr>
          <w:b w:val="0"/>
          <w:i w:val="0"/>
          <w:sz w:val="24"/>
        </w:rPr>
        <w:t>, ActA, also ranked at the bottom of the Vaxign-ML list, so it reflects a hard target rather than a pipeline fault. During these full-proteome runs we identified and corrected three scale-dependent engineering defects that had artefactually lowered VaxForge recall in first-pass runs; the localisation and class I steps each collapsed under a single oversized batch, and at the largest scale the parallel class I workers could deadlock on a shared scratch directory, all three now repartitioned into bounded, isolated sub-batches (`MANUSCRIPT_METHODS.md`, section B). Control experiments confirmed that the toxicity and allergenicity filters were not responsible.</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species whose protective antigens are secreted or surface-exposed and falls behind only on </w:t>
      </w:r>
      <w:r>
        <w:rPr>
          <w:b w:val="0"/>
          <w:i/>
          <w:sz w:val="24"/>
        </w:rPr>
        <w:t>C. burnetii</w:t>
      </w:r>
      <w:r>
        <w:rPr>
          <w:b w:val="0"/>
          <w:i w:val="0"/>
          <w:sz w:val="24"/>
        </w:rPr>
        <w:t xml:space="preserve"> and </w:t>
      </w:r>
      <w:r>
        <w:rPr>
          <w:b w:val="0"/>
          <w:i/>
          <w:sz w:val="24"/>
        </w:rPr>
        <w:t>S. suis</w:t>
      </w:r>
      <w:r>
        <w:rPr>
          <w:b w:val="0"/>
          <w:i w:val="0"/>
          <w:sz w:val="24"/>
        </w:rPr>
        <w:t>, whose missed antigens are cytoplasmic moonlighting proteins that the localisation filter removes by design; NERVE 2.0 recovers none of the antigens for four species.</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Species</w:t>
            </w:r>
          </w:p>
        </w:tc>
        <w:tc>
          <w:tcPr>
            <w:tcW w:type="dxa" w:w="1728"/>
          </w:tcPr>
          <w:p>
            <w:pPr>
              <w:spacing w:line="240" w:lineRule="auto"/>
              <w:jc w:val="left"/>
            </w:pPr>
            <w:r/>
            <w:r>
              <w:rPr>
                <w:b/>
                <w:i w:val="0"/>
                <w:sz w:val="22"/>
              </w:rPr>
              <w:t>Antigen (gene)</w:t>
            </w:r>
          </w:p>
        </w:tc>
        <w:tc>
          <w:tcPr>
            <w:tcW w:type="dxa" w:w="1728"/>
          </w:tcPr>
          <w:p>
            <w:pPr>
              <w:spacing w:line="240" w:lineRule="auto"/>
              <w:jc w:val="left"/>
            </w:pPr>
            <w:r/>
            <w:r>
              <w:rPr>
                <w:b/>
                <w:i w:val="0"/>
                <w:sz w:val="22"/>
              </w:rPr>
              <w:t>Accession</w:t>
            </w:r>
          </w:p>
        </w:tc>
        <w:tc>
          <w:tcPr>
            <w:tcW w:type="dxa" w:w="1728"/>
          </w:tcPr>
          <w:p>
            <w:pPr>
              <w:spacing w:line="240" w:lineRule="auto"/>
              <w:jc w:val="left"/>
            </w:pPr>
            <w:r/>
            <w:r>
              <w:rPr>
                <w:b/>
                <w:i w:val="0"/>
                <w:sz w:val="22"/>
              </w:rPr>
              <w:t>Status</w:t>
            </w:r>
          </w:p>
        </w:tc>
        <w:tc>
          <w:tcPr>
            <w:tcW w:type="dxa" w:w="1728"/>
          </w:tcPr>
          <w:p>
            <w:pPr>
              <w:spacing w:line="240" w:lineRule="auto"/>
              <w:jc w:val="left"/>
            </w:pPr>
            <w:r/>
            <w:r>
              <w:rPr>
                <w:b/>
                <w:i w:val="0"/>
                <w:sz w:val="22"/>
              </w:rPr>
              <w:t>Key evidence (DOI)</w:t>
            </w:r>
          </w:p>
        </w:tc>
      </w:tr>
      <w:tr>
        <w:tc>
          <w:tcPr>
            <w:tcW w:type="dxa" w:w="1728"/>
          </w:tcPr>
          <w:p>
            <w:pPr>
              <w:spacing w:line="240" w:lineRule="auto"/>
              <w:jc w:val="left"/>
            </w:pPr>
            <w:r/>
            <w:r>
              <w:rPr>
                <w:b w:val="0"/>
                <w:i w:val="0"/>
                <w:sz w:val="22"/>
              </w:rPr>
              <w:t>N. meningitidis B</w:t>
            </w:r>
          </w:p>
        </w:tc>
        <w:tc>
          <w:tcPr>
            <w:tcW w:type="dxa" w:w="1728"/>
          </w:tcPr>
          <w:p>
            <w:pPr>
              <w:spacing w:line="240" w:lineRule="auto"/>
              <w:jc w:val="left"/>
            </w:pPr>
            <w:r/>
            <w:r>
              <w:rPr>
                <w:b w:val="0"/>
                <w:i w:val="0"/>
                <w:sz w:val="22"/>
              </w:rPr>
              <w:t>fHbp</w:t>
            </w:r>
          </w:p>
        </w:tc>
        <w:tc>
          <w:tcPr>
            <w:tcW w:type="dxa" w:w="1728"/>
          </w:tcPr>
          <w:p>
            <w:pPr>
              <w:spacing w:line="240" w:lineRule="auto"/>
              <w:jc w:val="left"/>
            </w:pPr>
            <w:r/>
            <w:r>
              <w:rPr>
                <w:b w:val="0"/>
                <w:i w:val="0"/>
                <w:sz w:val="22"/>
              </w:rPr>
              <w:t>Q9JXV4</w:t>
            </w:r>
          </w:p>
        </w:tc>
        <w:tc>
          <w:tcPr>
            <w:tcW w:type="dxa" w:w="1728"/>
          </w:tcPr>
          <w:p>
            <w:pPr>
              <w:spacing w:line="240" w:lineRule="auto"/>
              <w:jc w:val="left"/>
            </w:pPr>
            <w:r/>
            <w:r>
              <w:rPr>
                <w:b w:val="0"/>
                <w:i w:val="0"/>
                <w:sz w:val="22"/>
              </w:rPr>
              <w:t>Licensed, 4CMenB (Bexsero)</w:t>
            </w:r>
          </w:p>
        </w:tc>
        <w:tc>
          <w:tcPr>
            <w:tcW w:type="dxa" w:w="1728"/>
          </w:tcPr>
          <w:p>
            <w:pPr>
              <w:spacing w:line="240" w:lineRule="auto"/>
              <w:jc w:val="left"/>
            </w:pPr>
            <w:r/>
            <w:r>
              <w:rPr>
                <w:b w:val="0"/>
                <w:i w:val="0"/>
                <w:sz w:val="22"/>
              </w:rPr>
              <w:t>Giuliani 2006, 10.1073/pnas.0603940103</w:t>
            </w:r>
          </w:p>
        </w:tc>
      </w:tr>
      <w:tr>
        <w:tc>
          <w:tcPr>
            <w:tcW w:type="dxa" w:w="1728"/>
          </w:tcPr>
          <w:p>
            <w:pPr>
              <w:spacing w:line="240" w:lineRule="auto"/>
              <w:jc w:val="left"/>
            </w:pPr>
            <w:r/>
          </w:p>
        </w:tc>
        <w:tc>
          <w:tcPr>
            <w:tcW w:type="dxa" w:w="1728"/>
          </w:tcPr>
          <w:p>
            <w:pPr>
              <w:spacing w:line="240" w:lineRule="auto"/>
              <w:jc w:val="left"/>
            </w:pPr>
            <w:r/>
            <w:r>
              <w:rPr>
                <w:b w:val="0"/>
                <w:i w:val="0"/>
                <w:sz w:val="22"/>
              </w:rPr>
              <w:t>NadA</w:t>
            </w:r>
          </w:p>
        </w:tc>
        <w:tc>
          <w:tcPr>
            <w:tcW w:type="dxa" w:w="1728"/>
          </w:tcPr>
          <w:p>
            <w:pPr>
              <w:spacing w:line="240" w:lineRule="auto"/>
              <w:jc w:val="left"/>
            </w:pPr>
            <w:r/>
            <w:r>
              <w:rPr>
                <w:b w:val="0"/>
                <w:i w:val="0"/>
                <w:sz w:val="22"/>
              </w:rPr>
              <w:t>Q9JXK7</w:t>
            </w:r>
          </w:p>
        </w:tc>
        <w:tc>
          <w:tcPr>
            <w:tcW w:type="dxa" w:w="1728"/>
          </w:tcPr>
          <w:p>
            <w:pPr>
              <w:spacing w:line="240" w:lineRule="auto"/>
              <w:jc w:val="left"/>
            </w:pPr>
            <w:r/>
            <w:r>
              <w:rPr>
                <w:b w:val="0"/>
                <w:i w:val="0"/>
                <w:sz w:val="22"/>
              </w:rPr>
              <w:t>Licensed, 4CMenB</w:t>
            </w:r>
          </w:p>
        </w:tc>
        <w:tc>
          <w:tcPr>
            <w:tcW w:type="dxa" w:w="1728"/>
          </w:tcPr>
          <w:p>
            <w:pPr>
              <w:spacing w:line="240" w:lineRule="auto"/>
              <w:jc w:val="left"/>
            </w:pPr>
            <w:r/>
            <w:r>
              <w:rPr>
                <w:b w:val="0"/>
                <w:i w:val="0"/>
                <w:sz w:val="22"/>
              </w:rPr>
              <w:t>Giuliani 2006, 10.1073/pnas.0603940103</w:t>
            </w:r>
          </w:p>
        </w:tc>
      </w:tr>
      <w:tr>
        <w:tc>
          <w:tcPr>
            <w:tcW w:type="dxa" w:w="1728"/>
          </w:tcPr>
          <w:p>
            <w:pPr>
              <w:spacing w:line="240" w:lineRule="auto"/>
              <w:jc w:val="left"/>
            </w:pPr>
            <w:r/>
          </w:p>
        </w:tc>
        <w:tc>
          <w:tcPr>
            <w:tcW w:type="dxa" w:w="1728"/>
          </w:tcPr>
          <w:p>
            <w:pPr>
              <w:spacing w:line="240" w:lineRule="auto"/>
              <w:jc w:val="left"/>
            </w:pPr>
            <w:r/>
            <w:r>
              <w:rPr>
                <w:b w:val="0"/>
                <w:i w:val="0"/>
                <w:sz w:val="22"/>
              </w:rPr>
              <w:t>NHBA</w:t>
            </w:r>
          </w:p>
        </w:tc>
        <w:tc>
          <w:tcPr>
            <w:tcW w:type="dxa" w:w="1728"/>
          </w:tcPr>
          <w:p>
            <w:pPr>
              <w:spacing w:line="240" w:lineRule="auto"/>
              <w:jc w:val="left"/>
            </w:pPr>
            <w:r/>
            <w:r>
              <w:rPr>
                <w:b w:val="0"/>
                <w:i w:val="0"/>
                <w:sz w:val="22"/>
              </w:rPr>
              <w:t>Q7DD37</w:t>
            </w:r>
          </w:p>
        </w:tc>
        <w:tc>
          <w:tcPr>
            <w:tcW w:type="dxa" w:w="1728"/>
          </w:tcPr>
          <w:p>
            <w:pPr>
              <w:spacing w:line="240" w:lineRule="auto"/>
              <w:jc w:val="left"/>
            </w:pPr>
            <w:r/>
            <w:r>
              <w:rPr>
                <w:b w:val="0"/>
                <w:i w:val="0"/>
                <w:sz w:val="22"/>
              </w:rPr>
              <w:t>Licensed, 4CMenB</w:t>
            </w:r>
          </w:p>
        </w:tc>
        <w:tc>
          <w:tcPr>
            <w:tcW w:type="dxa" w:w="1728"/>
          </w:tcPr>
          <w:p>
            <w:pPr>
              <w:spacing w:line="240" w:lineRule="auto"/>
              <w:jc w:val="left"/>
            </w:pPr>
            <w:r/>
            <w:r>
              <w:rPr>
                <w:b w:val="0"/>
                <w:i w:val="0"/>
                <w:sz w:val="22"/>
              </w:rPr>
              <w:t>Giuliani 2006, 10.1073/pnas.0603940103</w:t>
            </w:r>
          </w:p>
        </w:tc>
      </w:tr>
      <w:tr>
        <w:tc>
          <w:tcPr>
            <w:tcW w:type="dxa" w:w="1728"/>
          </w:tcPr>
          <w:p>
            <w:pPr>
              <w:spacing w:line="240" w:lineRule="auto"/>
              <w:jc w:val="left"/>
            </w:pPr>
            <w:r/>
          </w:p>
        </w:tc>
        <w:tc>
          <w:tcPr>
            <w:tcW w:type="dxa" w:w="1728"/>
          </w:tcPr>
          <w:p>
            <w:pPr>
              <w:spacing w:line="240" w:lineRule="auto"/>
              <w:jc w:val="left"/>
            </w:pPr>
            <w:r/>
            <w:r>
              <w:rPr>
                <w:b w:val="0"/>
                <w:i w:val="0"/>
                <w:sz w:val="22"/>
              </w:rPr>
              <w:t>PorA</w:t>
            </w:r>
          </w:p>
        </w:tc>
        <w:tc>
          <w:tcPr>
            <w:tcW w:type="dxa" w:w="1728"/>
          </w:tcPr>
          <w:p>
            <w:pPr>
              <w:spacing w:line="240" w:lineRule="auto"/>
              <w:jc w:val="left"/>
            </w:pPr>
            <w:r/>
            <w:r>
              <w:rPr>
                <w:b w:val="0"/>
                <w:i w:val="0"/>
                <w:sz w:val="22"/>
              </w:rPr>
              <w:t>P0DH58</w:t>
            </w:r>
          </w:p>
        </w:tc>
        <w:tc>
          <w:tcPr>
            <w:tcW w:type="dxa" w:w="1728"/>
          </w:tcPr>
          <w:p>
            <w:pPr>
              <w:spacing w:line="240" w:lineRule="auto"/>
              <w:jc w:val="left"/>
            </w:pPr>
            <w:r/>
            <w:r>
              <w:rPr>
                <w:b w:val="0"/>
                <w:i w:val="0"/>
                <w:sz w:val="22"/>
              </w:rPr>
              <w:t>Licensed, 4CMenB (OMV)</w:t>
            </w:r>
          </w:p>
        </w:tc>
        <w:tc>
          <w:tcPr>
            <w:tcW w:type="dxa" w:w="1728"/>
          </w:tcPr>
          <w:p>
            <w:pPr>
              <w:spacing w:line="240" w:lineRule="auto"/>
              <w:jc w:val="left"/>
            </w:pPr>
            <w:r/>
            <w:r>
              <w:rPr>
                <w:b w:val="0"/>
                <w:i w:val="0"/>
                <w:sz w:val="22"/>
              </w:rPr>
              <w:t>Pizza 2000, 10.1126/science.287.5459.1816</w:t>
            </w:r>
          </w:p>
        </w:tc>
      </w:tr>
      <w:tr>
        <w:tc>
          <w:tcPr>
            <w:tcW w:type="dxa" w:w="1728"/>
          </w:tcPr>
          <w:p>
            <w:pPr>
              <w:spacing w:line="240" w:lineRule="auto"/>
              <w:jc w:val="left"/>
            </w:pPr>
            <w:r/>
            <w:r>
              <w:rPr>
                <w:b w:val="0"/>
                <w:i w:val="0"/>
                <w:sz w:val="22"/>
              </w:rPr>
              <w:t>S. aureus</w:t>
            </w:r>
          </w:p>
        </w:tc>
        <w:tc>
          <w:tcPr>
            <w:tcW w:type="dxa" w:w="1728"/>
          </w:tcPr>
          <w:p>
            <w:pPr>
              <w:spacing w:line="240" w:lineRule="auto"/>
              <w:jc w:val="left"/>
            </w:pPr>
            <w:r/>
            <w:r>
              <w:rPr>
                <w:b w:val="0"/>
                <w:i w:val="0"/>
                <w:sz w:val="22"/>
              </w:rPr>
              <w:t>IsdB</w:t>
            </w:r>
          </w:p>
        </w:tc>
        <w:tc>
          <w:tcPr>
            <w:tcW w:type="dxa" w:w="1728"/>
          </w:tcPr>
          <w:p>
            <w:pPr>
              <w:spacing w:line="240" w:lineRule="auto"/>
              <w:jc w:val="left"/>
            </w:pPr>
            <w:r/>
            <w:r>
              <w:rPr>
                <w:b w:val="0"/>
                <w:i w:val="0"/>
                <w:sz w:val="22"/>
              </w:rPr>
              <w:t>Q2FZF0</w:t>
            </w:r>
          </w:p>
        </w:tc>
        <w:tc>
          <w:tcPr>
            <w:tcW w:type="dxa" w:w="1728"/>
          </w:tcPr>
          <w:p>
            <w:pPr>
              <w:spacing w:line="240" w:lineRule="auto"/>
              <w:jc w:val="left"/>
            </w:pPr>
            <w:r/>
            <w:r>
              <w:rPr>
                <w:b w:val="0"/>
                <w:i w:val="0"/>
                <w:sz w:val="22"/>
              </w:rPr>
              <w:t>Clinical candidate (V710)</w:t>
            </w:r>
          </w:p>
        </w:tc>
        <w:tc>
          <w:tcPr>
            <w:tcW w:type="dxa" w:w="1728"/>
          </w:tcPr>
          <w:p>
            <w:pPr>
              <w:spacing w:line="240" w:lineRule="auto"/>
              <w:jc w:val="left"/>
            </w:pPr>
            <w:r/>
            <w:r>
              <w:rPr>
                <w:b w:val="0"/>
                <w:i w:val="0"/>
                <w:sz w:val="22"/>
              </w:rPr>
              <w:t>Kuklin 2006, 10.1128/iai.74.4.2215-2223.2006</w:t>
            </w:r>
          </w:p>
        </w:tc>
      </w:tr>
      <w:tr>
        <w:tc>
          <w:tcPr>
            <w:tcW w:type="dxa" w:w="1728"/>
          </w:tcPr>
          <w:p>
            <w:pPr>
              <w:spacing w:line="240" w:lineRule="auto"/>
              <w:jc w:val="left"/>
            </w:pPr>
            <w:r/>
          </w:p>
        </w:tc>
        <w:tc>
          <w:tcPr>
            <w:tcW w:type="dxa" w:w="1728"/>
          </w:tcPr>
          <w:p>
            <w:pPr>
              <w:spacing w:line="240" w:lineRule="auto"/>
              <w:jc w:val="left"/>
            </w:pPr>
            <w:r/>
            <w:r>
              <w:rPr>
                <w:b w:val="0"/>
                <w:i w:val="0"/>
                <w:sz w:val="22"/>
              </w:rPr>
              <w:t>IsdA</w:t>
            </w:r>
          </w:p>
        </w:tc>
        <w:tc>
          <w:tcPr>
            <w:tcW w:type="dxa" w:w="1728"/>
          </w:tcPr>
          <w:p>
            <w:pPr>
              <w:spacing w:line="240" w:lineRule="auto"/>
              <w:jc w:val="left"/>
            </w:pPr>
            <w:r/>
            <w:r>
              <w:rPr>
                <w:b w:val="0"/>
                <w:i w:val="0"/>
                <w:sz w:val="22"/>
              </w:rPr>
              <w:t>Q2FZE9</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Kim 2010, 10.1016/j.vaccine.2010.02.097</w:t>
            </w:r>
          </w:p>
        </w:tc>
      </w:tr>
      <w:tr>
        <w:tc>
          <w:tcPr>
            <w:tcW w:type="dxa" w:w="1728"/>
          </w:tcPr>
          <w:p>
            <w:pPr>
              <w:spacing w:line="240" w:lineRule="auto"/>
              <w:jc w:val="left"/>
            </w:pPr>
            <w:r/>
          </w:p>
        </w:tc>
        <w:tc>
          <w:tcPr>
            <w:tcW w:type="dxa" w:w="1728"/>
          </w:tcPr>
          <w:p>
            <w:pPr>
              <w:spacing w:line="240" w:lineRule="auto"/>
              <w:jc w:val="left"/>
            </w:pPr>
            <w:r/>
            <w:r>
              <w:rPr>
                <w:b w:val="0"/>
                <w:i w:val="0"/>
                <w:sz w:val="22"/>
              </w:rPr>
              <w:t>ClfA</w:t>
            </w:r>
          </w:p>
        </w:tc>
        <w:tc>
          <w:tcPr>
            <w:tcW w:type="dxa" w:w="1728"/>
          </w:tcPr>
          <w:p>
            <w:pPr>
              <w:spacing w:line="240" w:lineRule="auto"/>
              <w:jc w:val="left"/>
            </w:pPr>
            <w:r/>
            <w:r>
              <w:rPr>
                <w:b w:val="0"/>
                <w:i w:val="0"/>
                <w:sz w:val="22"/>
              </w:rPr>
              <w:t>Q2G015</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Josefsson 2001, 10.1086/324430</w:t>
            </w:r>
          </w:p>
        </w:tc>
      </w:tr>
      <w:tr>
        <w:tc>
          <w:tcPr>
            <w:tcW w:type="dxa" w:w="1728"/>
          </w:tcPr>
          <w:p>
            <w:pPr>
              <w:spacing w:line="240" w:lineRule="auto"/>
              <w:jc w:val="left"/>
            </w:pPr>
            <w:r/>
          </w:p>
        </w:tc>
        <w:tc>
          <w:tcPr>
            <w:tcW w:type="dxa" w:w="1728"/>
          </w:tcPr>
          <w:p>
            <w:pPr>
              <w:spacing w:line="240" w:lineRule="auto"/>
              <w:jc w:val="left"/>
            </w:pPr>
            <w:r/>
            <w:r>
              <w:rPr>
                <w:b w:val="0"/>
                <w:i w:val="0"/>
                <w:sz w:val="22"/>
              </w:rPr>
              <w:t>Hla (α-hemolysin)</w:t>
            </w:r>
          </w:p>
        </w:tc>
        <w:tc>
          <w:tcPr>
            <w:tcW w:type="dxa" w:w="1728"/>
          </w:tcPr>
          <w:p>
            <w:pPr>
              <w:spacing w:line="240" w:lineRule="auto"/>
              <w:jc w:val="left"/>
            </w:pPr>
            <w:r/>
            <w:r>
              <w:rPr>
                <w:b w:val="0"/>
                <w:i w:val="0"/>
                <w:sz w:val="22"/>
              </w:rPr>
              <w:t>Q2G1X0</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Adhikari 2012, 10.1371/journal.pone.0038567</w:t>
            </w:r>
          </w:p>
        </w:tc>
      </w:tr>
      <w:tr>
        <w:tc>
          <w:tcPr>
            <w:tcW w:type="dxa" w:w="1728"/>
          </w:tcPr>
          <w:p>
            <w:pPr>
              <w:spacing w:line="240" w:lineRule="auto"/>
              <w:jc w:val="left"/>
            </w:pPr>
            <w:r/>
          </w:p>
        </w:tc>
        <w:tc>
          <w:tcPr>
            <w:tcW w:type="dxa" w:w="1728"/>
          </w:tcPr>
          <w:p>
            <w:pPr>
              <w:spacing w:line="240" w:lineRule="auto"/>
              <w:jc w:val="left"/>
            </w:pPr>
            <w:r/>
            <w:r>
              <w:rPr>
                <w:b w:val="0"/>
                <w:i w:val="0"/>
                <w:sz w:val="22"/>
              </w:rPr>
              <w:t>SpA</w:t>
            </w:r>
          </w:p>
        </w:tc>
        <w:tc>
          <w:tcPr>
            <w:tcW w:type="dxa" w:w="1728"/>
          </w:tcPr>
          <w:p>
            <w:pPr>
              <w:spacing w:line="240" w:lineRule="auto"/>
              <w:jc w:val="left"/>
            </w:pPr>
            <w:r/>
            <w:r>
              <w:rPr>
                <w:b w:val="0"/>
                <w:i w:val="0"/>
                <w:sz w:val="22"/>
              </w:rPr>
              <w:t>P02976</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Kim 2010, 10.1084/jem.20092514</w:t>
            </w:r>
          </w:p>
        </w:tc>
      </w:tr>
      <w:tr>
        <w:tc>
          <w:tcPr>
            <w:tcW w:type="dxa" w:w="1728"/>
          </w:tcPr>
          <w:p>
            <w:pPr>
              <w:spacing w:line="240" w:lineRule="auto"/>
              <w:jc w:val="left"/>
            </w:pPr>
            <w:r/>
            <w:r>
              <w:rPr>
                <w:b w:val="0"/>
                <w:i w:val="0"/>
                <w:sz w:val="22"/>
              </w:rPr>
              <w:t>L. monocytogenes</w:t>
            </w:r>
          </w:p>
        </w:tc>
        <w:tc>
          <w:tcPr>
            <w:tcW w:type="dxa" w:w="1728"/>
          </w:tcPr>
          <w:p>
            <w:pPr>
              <w:spacing w:line="240" w:lineRule="auto"/>
              <w:jc w:val="left"/>
            </w:pPr>
            <w:r/>
            <w:r>
              <w:rPr>
                <w:b w:val="0"/>
                <w:i w:val="0"/>
                <w:sz w:val="22"/>
              </w:rPr>
              <w:t>LLO</w:t>
            </w:r>
          </w:p>
        </w:tc>
        <w:tc>
          <w:tcPr>
            <w:tcW w:type="dxa" w:w="1728"/>
          </w:tcPr>
          <w:p>
            <w:pPr>
              <w:spacing w:line="240" w:lineRule="auto"/>
              <w:jc w:val="left"/>
            </w:pPr>
            <w:r/>
            <w:r>
              <w:rPr>
                <w:b w:val="0"/>
                <w:i w:val="0"/>
                <w:sz w:val="22"/>
              </w:rPr>
              <w:t>P13128</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Phelps 2020, 10.1016/j.vaccine.2020.06.049</w:t>
            </w:r>
          </w:p>
        </w:tc>
      </w:tr>
      <w:tr>
        <w:tc>
          <w:tcPr>
            <w:tcW w:type="dxa" w:w="1728"/>
          </w:tcPr>
          <w:p>
            <w:pPr>
              <w:spacing w:line="240" w:lineRule="auto"/>
              <w:jc w:val="left"/>
            </w:pPr>
            <w:r/>
          </w:p>
        </w:tc>
        <w:tc>
          <w:tcPr>
            <w:tcW w:type="dxa" w:w="1728"/>
          </w:tcPr>
          <w:p>
            <w:pPr>
              <w:spacing w:line="240" w:lineRule="auto"/>
              <w:jc w:val="left"/>
            </w:pPr>
            <w:r/>
            <w:r>
              <w:rPr>
                <w:b w:val="0"/>
                <w:i w:val="0"/>
                <w:sz w:val="22"/>
              </w:rPr>
              <w:t>p60 (Iap)</w:t>
            </w:r>
          </w:p>
        </w:tc>
        <w:tc>
          <w:tcPr>
            <w:tcW w:type="dxa" w:w="1728"/>
          </w:tcPr>
          <w:p>
            <w:pPr>
              <w:spacing w:line="240" w:lineRule="auto"/>
              <w:jc w:val="left"/>
            </w:pPr>
            <w:r/>
            <w:r>
              <w:rPr>
                <w:b w:val="0"/>
                <w:i w:val="0"/>
                <w:sz w:val="22"/>
              </w:rPr>
              <w:t>P21171</w:t>
            </w:r>
          </w:p>
        </w:tc>
        <w:tc>
          <w:tcPr>
            <w:tcW w:type="dxa" w:w="1728"/>
          </w:tcPr>
          <w:p>
            <w:pPr>
              <w:spacing w:line="240" w:lineRule="auto"/>
              <w:jc w:val="left"/>
            </w:pPr>
            <w:r/>
            <w:r>
              <w:rPr>
                <w:b w:val="0"/>
                <w:i w:val="0"/>
                <w:sz w:val="22"/>
              </w:rPr>
              <w:t>Preclinical (CD8 protection)</w:t>
            </w:r>
          </w:p>
        </w:tc>
        <w:tc>
          <w:tcPr>
            <w:tcW w:type="dxa" w:w="1728"/>
          </w:tcPr>
          <w:p>
            <w:pPr>
              <w:spacing w:line="240" w:lineRule="auto"/>
              <w:jc w:val="left"/>
            </w:pPr>
            <w:r/>
            <w:r>
              <w:rPr>
                <w:b w:val="0"/>
                <w:i w:val="0"/>
                <w:sz w:val="22"/>
              </w:rPr>
              <w:t>Harty 1995, 10.4049/jimmunol.154.9.4642</w:t>
            </w:r>
          </w:p>
        </w:tc>
      </w:tr>
      <w:tr>
        <w:tc>
          <w:tcPr>
            <w:tcW w:type="dxa" w:w="1728"/>
          </w:tcPr>
          <w:p>
            <w:pPr>
              <w:spacing w:line="240" w:lineRule="auto"/>
              <w:jc w:val="left"/>
            </w:pPr>
            <w:r/>
          </w:p>
        </w:tc>
        <w:tc>
          <w:tcPr>
            <w:tcW w:type="dxa" w:w="1728"/>
          </w:tcPr>
          <w:p>
            <w:pPr>
              <w:spacing w:line="240" w:lineRule="auto"/>
              <w:jc w:val="left"/>
            </w:pPr>
            <w:r/>
            <w:r>
              <w:rPr>
                <w:b w:val="0"/>
                <w:i w:val="0"/>
                <w:sz w:val="22"/>
              </w:rPr>
              <w:t>InlA</w:t>
            </w:r>
          </w:p>
        </w:tc>
        <w:tc>
          <w:tcPr>
            <w:tcW w:type="dxa" w:w="1728"/>
          </w:tcPr>
          <w:p>
            <w:pPr>
              <w:spacing w:line="240" w:lineRule="auto"/>
              <w:jc w:val="left"/>
            </w:pPr>
            <w:r/>
            <w:r>
              <w:rPr>
                <w:b w:val="0"/>
                <w:i w:val="0"/>
                <w:sz w:val="22"/>
              </w:rPr>
              <w:t>P0DJM0</w:t>
            </w:r>
          </w:p>
        </w:tc>
        <w:tc>
          <w:tcPr>
            <w:tcW w:type="dxa" w:w="1728"/>
          </w:tcPr>
          <w:p>
            <w:pPr>
              <w:spacing w:line="240" w:lineRule="auto"/>
              <w:jc w:val="left"/>
            </w:pPr>
            <w:r/>
            <w:r>
              <w:rPr>
                <w:b w:val="0"/>
                <w:i w:val="0"/>
                <w:sz w:val="22"/>
              </w:rPr>
              <w:t>Virulence factor / candidate</w:t>
            </w:r>
          </w:p>
        </w:tc>
        <w:tc>
          <w:tcPr>
            <w:tcW w:type="dxa" w:w="1728"/>
          </w:tcPr>
          <w:p>
            <w:pPr>
              <w:spacing w:line="240" w:lineRule="auto"/>
              <w:jc w:val="left"/>
            </w:pPr>
            <w:r/>
            <w:r>
              <w:rPr>
                <w:b w:val="0"/>
                <w:i w:val="0"/>
                <w:sz w:val="22"/>
              </w:rPr>
              <w:t>Gaillard 1991, 10.1016/0092-8674(91)90009-n</w:t>
            </w:r>
          </w:p>
        </w:tc>
      </w:tr>
      <w:tr>
        <w:tc>
          <w:tcPr>
            <w:tcW w:type="dxa" w:w="1728"/>
          </w:tcPr>
          <w:p>
            <w:pPr>
              <w:spacing w:line="240" w:lineRule="auto"/>
              <w:jc w:val="left"/>
            </w:pPr>
            <w:r/>
          </w:p>
        </w:tc>
        <w:tc>
          <w:tcPr>
            <w:tcW w:type="dxa" w:w="1728"/>
          </w:tcPr>
          <w:p>
            <w:pPr>
              <w:spacing w:line="240" w:lineRule="auto"/>
              <w:jc w:val="left"/>
            </w:pPr>
            <w:r/>
            <w:r>
              <w:rPr>
                <w:b w:val="0"/>
                <w:i w:val="0"/>
                <w:sz w:val="22"/>
              </w:rPr>
              <w:t>InlB</w:t>
            </w:r>
          </w:p>
        </w:tc>
        <w:tc>
          <w:tcPr>
            <w:tcW w:type="dxa" w:w="1728"/>
          </w:tcPr>
          <w:p>
            <w:pPr>
              <w:spacing w:line="240" w:lineRule="auto"/>
              <w:jc w:val="left"/>
            </w:pPr>
            <w:r/>
            <w:r>
              <w:rPr>
                <w:b w:val="0"/>
                <w:i w:val="0"/>
                <w:sz w:val="22"/>
              </w:rPr>
              <w:t>P0DQD2</w:t>
            </w:r>
          </w:p>
        </w:tc>
        <w:tc>
          <w:tcPr>
            <w:tcW w:type="dxa" w:w="1728"/>
          </w:tcPr>
          <w:p>
            <w:pPr>
              <w:spacing w:line="240" w:lineRule="auto"/>
              <w:jc w:val="left"/>
            </w:pPr>
            <w:r/>
            <w:r>
              <w:rPr>
                <w:b w:val="0"/>
                <w:i w:val="0"/>
                <w:sz w:val="22"/>
              </w:rPr>
              <w:t>Virulence factor / candidate</w:t>
            </w:r>
          </w:p>
        </w:tc>
        <w:tc>
          <w:tcPr>
            <w:tcW w:type="dxa" w:w="1728"/>
          </w:tcPr>
          <w:p>
            <w:pPr>
              <w:spacing w:line="240" w:lineRule="auto"/>
              <w:jc w:val="left"/>
            </w:pPr>
            <w:r/>
            <w:r>
              <w:rPr>
                <w:b w:val="0"/>
                <w:i w:val="0"/>
                <w:sz w:val="22"/>
              </w:rPr>
              <w:t>Dramsi 1995, 10.1111/j.1365-2958.1995.tb02297.x</w:t>
            </w:r>
          </w:p>
        </w:tc>
      </w:tr>
      <w:tr>
        <w:tc>
          <w:tcPr>
            <w:tcW w:type="dxa" w:w="1728"/>
          </w:tcPr>
          <w:p>
            <w:pPr>
              <w:spacing w:line="240" w:lineRule="auto"/>
              <w:jc w:val="left"/>
            </w:pPr>
            <w:r/>
          </w:p>
        </w:tc>
        <w:tc>
          <w:tcPr>
            <w:tcW w:type="dxa" w:w="1728"/>
          </w:tcPr>
          <w:p>
            <w:pPr>
              <w:spacing w:line="240" w:lineRule="auto"/>
              <w:jc w:val="left"/>
            </w:pPr>
            <w:r/>
            <w:r>
              <w:rPr>
                <w:b w:val="0"/>
                <w:i w:val="0"/>
                <w:sz w:val="22"/>
              </w:rPr>
              <w:t>ActA</w:t>
            </w:r>
          </w:p>
        </w:tc>
        <w:tc>
          <w:tcPr>
            <w:tcW w:type="dxa" w:w="1728"/>
          </w:tcPr>
          <w:p>
            <w:pPr>
              <w:spacing w:line="240" w:lineRule="auto"/>
              <w:jc w:val="left"/>
            </w:pPr>
            <w:r/>
            <w:r>
              <w:rPr>
                <w:b w:val="0"/>
                <w:i w:val="0"/>
                <w:sz w:val="22"/>
              </w:rPr>
              <w:t>P33379</w:t>
            </w:r>
          </w:p>
        </w:tc>
        <w:tc>
          <w:tcPr>
            <w:tcW w:type="dxa" w:w="1728"/>
          </w:tcPr>
          <w:p>
            <w:pPr>
              <w:spacing w:line="240" w:lineRule="auto"/>
              <w:jc w:val="left"/>
            </w:pPr>
            <w:r/>
            <w:r>
              <w:rPr>
                <w:b w:val="0"/>
                <w:i w:val="0"/>
                <w:sz w:val="22"/>
              </w:rPr>
              <w:t>Passive-protection candidate</w:t>
            </w:r>
          </w:p>
        </w:tc>
        <w:tc>
          <w:tcPr>
            <w:tcW w:type="dxa" w:w="1728"/>
          </w:tcPr>
          <w:p>
            <w:pPr>
              <w:spacing w:line="240" w:lineRule="auto"/>
              <w:jc w:val="left"/>
            </w:pPr>
            <w:r/>
            <w:r>
              <w:rPr>
                <w:b w:val="0"/>
                <w:i w:val="0"/>
                <w:sz w:val="22"/>
              </w:rPr>
              <w:t>Asano 2016, 10.1038/srep39628</w:t>
            </w:r>
          </w:p>
        </w:tc>
      </w:tr>
      <w:tr>
        <w:tc>
          <w:tcPr>
            <w:tcW w:type="dxa" w:w="1728"/>
          </w:tcPr>
          <w:p>
            <w:pPr>
              <w:spacing w:line="240" w:lineRule="auto"/>
              <w:jc w:val="left"/>
            </w:pPr>
            <w:r/>
            <w:r>
              <w:rPr>
                <w:b w:val="0"/>
                <w:i w:val="0"/>
                <w:sz w:val="22"/>
              </w:rPr>
              <w:t>S. Typhimurium</w:t>
            </w:r>
          </w:p>
        </w:tc>
        <w:tc>
          <w:tcPr>
            <w:tcW w:type="dxa" w:w="1728"/>
          </w:tcPr>
          <w:p>
            <w:pPr>
              <w:spacing w:line="240" w:lineRule="auto"/>
              <w:jc w:val="left"/>
            </w:pPr>
            <w:r/>
            <w:r>
              <w:rPr>
                <w:b w:val="0"/>
                <w:i w:val="0"/>
                <w:sz w:val="22"/>
              </w:rPr>
              <w:t>OmpD</w:t>
            </w:r>
          </w:p>
        </w:tc>
        <w:tc>
          <w:tcPr>
            <w:tcW w:type="dxa" w:w="1728"/>
          </w:tcPr>
          <w:p>
            <w:pPr>
              <w:spacing w:line="240" w:lineRule="auto"/>
              <w:jc w:val="left"/>
            </w:pPr>
            <w:r/>
            <w:r>
              <w:rPr>
                <w:b w:val="0"/>
                <w:i w:val="0"/>
                <w:sz w:val="22"/>
              </w:rPr>
              <w:t>P37592</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Gil-Cruz 2009, 10.1073/pnas.0812431106</w:t>
            </w:r>
          </w:p>
        </w:tc>
      </w:tr>
      <w:tr>
        <w:tc>
          <w:tcPr>
            <w:tcW w:type="dxa" w:w="1728"/>
          </w:tcPr>
          <w:p>
            <w:pPr>
              <w:spacing w:line="240" w:lineRule="auto"/>
              <w:jc w:val="left"/>
            </w:pPr>
            <w:r/>
          </w:p>
        </w:tc>
        <w:tc>
          <w:tcPr>
            <w:tcW w:type="dxa" w:w="1728"/>
          </w:tcPr>
          <w:p>
            <w:pPr>
              <w:spacing w:line="240" w:lineRule="auto"/>
              <w:jc w:val="left"/>
            </w:pPr>
            <w:r/>
            <w:r>
              <w:rPr>
                <w:b w:val="0"/>
                <w:i w:val="0"/>
                <w:sz w:val="22"/>
              </w:rPr>
              <w:t>OmpC</w:t>
            </w:r>
          </w:p>
        </w:tc>
        <w:tc>
          <w:tcPr>
            <w:tcW w:type="dxa" w:w="1728"/>
          </w:tcPr>
          <w:p>
            <w:pPr>
              <w:spacing w:line="240" w:lineRule="auto"/>
              <w:jc w:val="left"/>
            </w:pPr>
            <w:r/>
            <w:r>
              <w:rPr>
                <w:b w:val="0"/>
                <w:i w:val="0"/>
                <w:sz w:val="22"/>
              </w:rPr>
              <w:t>P0A263</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Secundino 2006, 10.1111/j.1365-2567.2005.02263.x</w:t>
            </w:r>
          </w:p>
        </w:tc>
      </w:tr>
      <w:tr>
        <w:tc>
          <w:tcPr>
            <w:tcW w:type="dxa" w:w="1728"/>
          </w:tcPr>
          <w:p>
            <w:pPr>
              <w:spacing w:line="240" w:lineRule="auto"/>
              <w:jc w:val="left"/>
            </w:pPr>
            <w:r/>
          </w:p>
        </w:tc>
        <w:tc>
          <w:tcPr>
            <w:tcW w:type="dxa" w:w="1728"/>
          </w:tcPr>
          <w:p>
            <w:pPr>
              <w:spacing w:line="240" w:lineRule="auto"/>
              <w:jc w:val="left"/>
            </w:pPr>
            <w:r/>
            <w:r>
              <w:rPr>
                <w:b w:val="0"/>
                <w:i w:val="0"/>
                <w:sz w:val="22"/>
              </w:rPr>
              <w:t>OmpA</w:t>
            </w:r>
          </w:p>
        </w:tc>
        <w:tc>
          <w:tcPr>
            <w:tcW w:type="dxa" w:w="1728"/>
          </w:tcPr>
          <w:p>
            <w:pPr>
              <w:spacing w:line="240" w:lineRule="auto"/>
              <w:jc w:val="left"/>
            </w:pPr>
            <w:r/>
            <w:r>
              <w:rPr>
                <w:b w:val="0"/>
                <w:i w:val="0"/>
                <w:sz w:val="22"/>
              </w:rPr>
              <w:t>P02936</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Domínguez-Medina 2020, 10.1038/s41467-020-14655-9</w:t>
            </w:r>
          </w:p>
        </w:tc>
      </w:tr>
      <w:tr>
        <w:tc>
          <w:tcPr>
            <w:tcW w:type="dxa" w:w="1728"/>
          </w:tcPr>
          <w:p>
            <w:pPr>
              <w:spacing w:line="240" w:lineRule="auto"/>
              <w:jc w:val="left"/>
            </w:pPr>
            <w:r/>
          </w:p>
        </w:tc>
        <w:tc>
          <w:tcPr>
            <w:tcW w:type="dxa" w:w="1728"/>
          </w:tcPr>
          <w:p>
            <w:pPr>
              <w:spacing w:line="240" w:lineRule="auto"/>
              <w:jc w:val="left"/>
            </w:pPr>
            <w:r/>
            <w:r>
              <w:rPr>
                <w:b w:val="0"/>
                <w:i w:val="0"/>
                <w:sz w:val="22"/>
              </w:rPr>
              <w:t>FliC</w:t>
            </w:r>
          </w:p>
        </w:tc>
        <w:tc>
          <w:tcPr>
            <w:tcW w:type="dxa" w:w="1728"/>
          </w:tcPr>
          <w:p>
            <w:pPr>
              <w:spacing w:line="240" w:lineRule="auto"/>
              <w:jc w:val="left"/>
            </w:pPr>
            <w:r/>
            <w:r>
              <w:rPr>
                <w:b w:val="0"/>
                <w:i w:val="0"/>
                <w:sz w:val="22"/>
              </w:rPr>
              <w:t>P06179</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Bumann 2014, 10.3389/fimmu.2014.00381</w:t>
            </w:r>
          </w:p>
        </w:tc>
      </w:tr>
      <w:tr>
        <w:tc>
          <w:tcPr>
            <w:tcW w:type="dxa" w:w="1728"/>
          </w:tcPr>
          <w:p>
            <w:pPr>
              <w:spacing w:line="240" w:lineRule="auto"/>
              <w:jc w:val="left"/>
            </w:pPr>
            <w:r/>
          </w:p>
        </w:tc>
        <w:tc>
          <w:tcPr>
            <w:tcW w:type="dxa" w:w="1728"/>
          </w:tcPr>
          <w:p>
            <w:pPr>
              <w:spacing w:line="240" w:lineRule="auto"/>
              <w:jc w:val="left"/>
            </w:pPr>
            <w:r/>
            <w:r>
              <w:rPr>
                <w:b w:val="0"/>
                <w:i w:val="0"/>
                <w:sz w:val="22"/>
              </w:rPr>
              <w:t>SseB</w:t>
            </w:r>
          </w:p>
        </w:tc>
        <w:tc>
          <w:tcPr>
            <w:tcW w:type="dxa" w:w="1728"/>
          </w:tcPr>
          <w:p>
            <w:pPr>
              <w:spacing w:line="240" w:lineRule="auto"/>
              <w:jc w:val="left"/>
            </w:pPr>
            <w:r/>
            <w:r>
              <w:rPr>
                <w:b w:val="0"/>
                <w:i w:val="0"/>
                <w:sz w:val="22"/>
              </w:rPr>
              <w:t>Q7BVH7</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Lee 2017, 10.4049/jimmunol.1601357</w:t>
            </w:r>
          </w:p>
        </w:tc>
      </w:tr>
      <w:tr>
        <w:tc>
          <w:tcPr>
            <w:tcW w:type="dxa" w:w="1728"/>
          </w:tcPr>
          <w:p>
            <w:pPr>
              <w:spacing w:line="240" w:lineRule="auto"/>
              <w:jc w:val="left"/>
            </w:pPr>
            <w:r/>
            <w:r>
              <w:rPr>
                <w:b w:val="0"/>
                <w:i w:val="0"/>
                <w:sz w:val="22"/>
              </w:rPr>
              <w:t>C. burnetii</w:t>
            </w:r>
          </w:p>
        </w:tc>
        <w:tc>
          <w:tcPr>
            <w:tcW w:type="dxa" w:w="1728"/>
          </w:tcPr>
          <w:p>
            <w:pPr>
              <w:spacing w:line="240" w:lineRule="auto"/>
              <w:jc w:val="left"/>
            </w:pPr>
            <w:r/>
            <w:r>
              <w:rPr>
                <w:b w:val="0"/>
                <w:i w:val="0"/>
                <w:sz w:val="22"/>
              </w:rPr>
              <w:t>Com1</w:t>
            </w:r>
          </w:p>
        </w:tc>
        <w:tc>
          <w:tcPr>
            <w:tcW w:type="dxa" w:w="1728"/>
          </w:tcPr>
          <w:p>
            <w:pPr>
              <w:spacing w:line="240" w:lineRule="auto"/>
              <w:jc w:val="left"/>
            </w:pPr>
            <w:r/>
            <w:r>
              <w:rPr>
                <w:b w:val="0"/>
                <w:i w:val="0"/>
                <w:sz w:val="22"/>
              </w:rPr>
              <w:t>H7C7D7</w:t>
            </w:r>
          </w:p>
        </w:tc>
        <w:tc>
          <w:tcPr>
            <w:tcW w:type="dxa" w:w="1728"/>
          </w:tcPr>
          <w:p>
            <w:pPr>
              <w:spacing w:line="240" w:lineRule="auto"/>
              <w:jc w:val="left"/>
            </w:pPr>
            <w:r/>
            <w:r>
              <w:rPr>
                <w:b w:val="0"/>
                <w:i w:val="0"/>
                <w:sz w:val="22"/>
              </w:rPr>
              <w:t>Preclinical (adoptive transfer)</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p>
        </w:tc>
        <w:tc>
          <w:tcPr>
            <w:tcW w:type="dxa" w:w="1728"/>
          </w:tcPr>
          <w:p>
            <w:pPr>
              <w:spacing w:line="240" w:lineRule="auto"/>
              <w:jc w:val="left"/>
            </w:pPr>
            <w:r/>
            <w:r>
              <w:rPr>
                <w:b w:val="0"/>
                <w:i w:val="0"/>
                <w:sz w:val="22"/>
              </w:rPr>
              <w:t>Mip</w:t>
            </w:r>
          </w:p>
        </w:tc>
        <w:tc>
          <w:tcPr>
            <w:tcW w:type="dxa" w:w="1728"/>
          </w:tcPr>
          <w:p>
            <w:pPr>
              <w:spacing w:line="240" w:lineRule="auto"/>
              <w:jc w:val="left"/>
            </w:pPr>
            <w:r/>
            <w:r>
              <w:rPr>
                <w:b w:val="0"/>
                <w:i w:val="0"/>
                <w:sz w:val="22"/>
              </w:rPr>
              <w:t>P51752</w:t>
            </w:r>
          </w:p>
        </w:tc>
        <w:tc>
          <w:tcPr>
            <w:tcW w:type="dxa" w:w="1728"/>
          </w:tcPr>
          <w:p>
            <w:pPr>
              <w:spacing w:line="240" w:lineRule="auto"/>
              <w:jc w:val="left"/>
            </w:pPr>
            <w:r/>
            <w:r>
              <w:rPr>
                <w:b w:val="0"/>
                <w:i w:val="0"/>
                <w:sz w:val="22"/>
              </w:rPr>
              <w:t>Immunodominant candidate</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p>
        </w:tc>
        <w:tc>
          <w:tcPr>
            <w:tcW w:type="dxa" w:w="1728"/>
          </w:tcPr>
          <w:p>
            <w:pPr>
              <w:spacing w:line="240" w:lineRule="auto"/>
              <w:jc w:val="left"/>
            </w:pPr>
            <w:r/>
            <w:r>
              <w:rPr>
                <w:b w:val="0"/>
                <w:i w:val="0"/>
                <w:sz w:val="22"/>
              </w:rPr>
              <w:t>OmpH</w:t>
            </w:r>
          </w:p>
        </w:tc>
        <w:tc>
          <w:tcPr>
            <w:tcW w:type="dxa" w:w="1728"/>
          </w:tcPr>
          <w:p>
            <w:pPr>
              <w:spacing w:line="240" w:lineRule="auto"/>
              <w:jc w:val="left"/>
            </w:pPr>
            <w:r/>
            <w:r>
              <w:rPr>
                <w:b w:val="0"/>
                <w:i w:val="0"/>
                <w:sz w:val="22"/>
              </w:rPr>
              <w:t>Q83DT1</w:t>
            </w:r>
          </w:p>
        </w:tc>
        <w:tc>
          <w:tcPr>
            <w:tcW w:type="dxa" w:w="1728"/>
          </w:tcPr>
          <w:p>
            <w:pPr>
              <w:spacing w:line="240" w:lineRule="auto"/>
              <w:jc w:val="left"/>
            </w:pPr>
            <w:r/>
            <w:r>
              <w:rPr>
                <w:b w:val="0"/>
                <w:i w:val="0"/>
                <w:sz w:val="22"/>
              </w:rPr>
              <w:t>Immunodominant candidate</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p>
        </w:tc>
        <w:tc>
          <w:tcPr>
            <w:tcW w:type="dxa" w:w="1728"/>
          </w:tcPr>
          <w:p>
            <w:pPr>
              <w:spacing w:line="240" w:lineRule="auto"/>
              <w:jc w:val="left"/>
            </w:pPr>
            <w:r/>
            <w:r>
              <w:rPr>
                <w:b w:val="0"/>
                <w:i w:val="0"/>
                <w:sz w:val="22"/>
              </w:rPr>
              <w:t>GroEL</w:t>
            </w:r>
          </w:p>
        </w:tc>
        <w:tc>
          <w:tcPr>
            <w:tcW w:type="dxa" w:w="1728"/>
          </w:tcPr>
          <w:p>
            <w:pPr>
              <w:spacing w:line="240" w:lineRule="auto"/>
              <w:jc w:val="left"/>
            </w:pPr>
            <w:r/>
            <w:r>
              <w:rPr>
                <w:b w:val="0"/>
                <w:i w:val="0"/>
                <w:sz w:val="22"/>
              </w:rPr>
              <w:t>P19421</w:t>
            </w:r>
          </w:p>
        </w:tc>
        <w:tc>
          <w:tcPr>
            <w:tcW w:type="dxa" w:w="1728"/>
          </w:tcPr>
          <w:p>
            <w:pPr>
              <w:spacing w:line="240" w:lineRule="auto"/>
              <w:jc w:val="left"/>
            </w:pPr>
            <w:r/>
            <w:r>
              <w:rPr>
                <w:b w:val="0"/>
                <w:i w:val="0"/>
                <w:sz w:val="22"/>
              </w:rPr>
              <w:t>Immunodominant (weak)</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r>
              <w:rPr>
                <w:b w:val="0"/>
                <w:i w:val="0"/>
                <w:sz w:val="22"/>
              </w:rPr>
              <w:t>S. suis</w:t>
            </w:r>
          </w:p>
        </w:tc>
        <w:tc>
          <w:tcPr>
            <w:tcW w:type="dxa" w:w="1728"/>
          </w:tcPr>
          <w:p>
            <w:pPr>
              <w:spacing w:line="240" w:lineRule="auto"/>
              <w:jc w:val="left"/>
            </w:pPr>
            <w:r/>
            <w:r>
              <w:rPr>
                <w:b w:val="0"/>
                <w:i w:val="0"/>
                <w:sz w:val="22"/>
              </w:rPr>
              <w:t>Suilysin (SLY)</w:t>
            </w:r>
          </w:p>
        </w:tc>
        <w:tc>
          <w:tcPr>
            <w:tcW w:type="dxa" w:w="1728"/>
          </w:tcPr>
          <w:p>
            <w:pPr>
              <w:spacing w:line="240" w:lineRule="auto"/>
              <w:jc w:val="left"/>
            </w:pPr>
            <w:r/>
            <w:r>
              <w:rPr>
                <w:b w:val="0"/>
                <w:i w:val="0"/>
                <w:sz w:val="22"/>
              </w:rPr>
              <w:t>A0A0H3MU02</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Du 2013, 10.1016/j.vaccine.2013.07.004</w:t>
            </w:r>
          </w:p>
        </w:tc>
      </w:tr>
      <w:tr>
        <w:tc>
          <w:tcPr>
            <w:tcW w:type="dxa" w:w="1728"/>
          </w:tcPr>
          <w:p>
            <w:pPr>
              <w:spacing w:line="240" w:lineRule="auto"/>
              <w:jc w:val="left"/>
            </w:pPr>
            <w:r/>
          </w:p>
        </w:tc>
        <w:tc>
          <w:tcPr>
            <w:tcW w:type="dxa" w:w="1728"/>
          </w:tcPr>
          <w:p>
            <w:pPr>
              <w:spacing w:line="240" w:lineRule="auto"/>
              <w:jc w:val="left"/>
            </w:pPr>
            <w:r/>
            <w:r>
              <w:rPr>
                <w:b w:val="0"/>
                <w:i w:val="0"/>
                <w:sz w:val="22"/>
              </w:rPr>
              <w:t>Enolase</w:t>
            </w:r>
          </w:p>
        </w:tc>
        <w:tc>
          <w:tcPr>
            <w:tcW w:type="dxa" w:w="1728"/>
          </w:tcPr>
          <w:p>
            <w:pPr>
              <w:spacing w:line="240" w:lineRule="auto"/>
              <w:jc w:val="left"/>
            </w:pPr>
            <w:r/>
            <w:r>
              <w:rPr>
                <w:b w:val="0"/>
                <w:i w:val="0"/>
                <w:sz w:val="22"/>
              </w:rPr>
              <w:t>A0A0H3N5B2</w:t>
            </w:r>
          </w:p>
        </w:tc>
        <w:tc>
          <w:tcPr>
            <w:tcW w:type="dxa" w:w="1728"/>
          </w:tcPr>
          <w:p>
            <w:pPr>
              <w:spacing w:line="240" w:lineRule="auto"/>
              <w:jc w:val="left"/>
            </w:pPr>
            <w:r/>
            <w:r>
              <w:rPr>
                <w:b w:val="0"/>
                <w:i w:val="0"/>
                <w:sz w:val="22"/>
              </w:rPr>
              <w:t>Preclinical (full protection)</w:t>
            </w:r>
          </w:p>
        </w:tc>
        <w:tc>
          <w:tcPr>
            <w:tcW w:type="dxa" w:w="1728"/>
          </w:tcPr>
          <w:p>
            <w:pPr>
              <w:spacing w:line="240" w:lineRule="auto"/>
              <w:jc w:val="left"/>
            </w:pPr>
            <w:r/>
            <w:r>
              <w:rPr>
                <w:b w:val="0"/>
                <w:i w:val="0"/>
                <w:sz w:val="22"/>
              </w:rPr>
              <w:t>Feng 2009, 10.1086/644602</w:t>
            </w:r>
          </w:p>
        </w:tc>
      </w:tr>
      <w:tr>
        <w:tc>
          <w:tcPr>
            <w:tcW w:type="dxa" w:w="1728"/>
          </w:tcPr>
          <w:p>
            <w:pPr>
              <w:spacing w:line="240" w:lineRule="auto"/>
              <w:jc w:val="left"/>
            </w:pPr>
            <w:r/>
          </w:p>
        </w:tc>
        <w:tc>
          <w:tcPr>
            <w:tcW w:type="dxa" w:w="1728"/>
          </w:tcPr>
          <w:p>
            <w:pPr>
              <w:spacing w:line="240" w:lineRule="auto"/>
              <w:jc w:val="left"/>
            </w:pPr>
            <w:r/>
            <w:r>
              <w:rPr>
                <w:b w:val="0"/>
                <w:i w:val="0"/>
                <w:sz w:val="22"/>
              </w:rPr>
              <w:t>6PGD</w:t>
            </w:r>
          </w:p>
        </w:tc>
        <w:tc>
          <w:tcPr>
            <w:tcW w:type="dxa" w:w="1728"/>
          </w:tcPr>
          <w:p>
            <w:pPr>
              <w:spacing w:line="240" w:lineRule="auto"/>
              <w:jc w:val="left"/>
            </w:pPr>
            <w:r/>
            <w:r>
              <w:rPr>
                <w:b w:val="0"/>
                <w:i w:val="0"/>
                <w:sz w:val="22"/>
              </w:rPr>
              <w:t>A0A0H3N193</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Zhang 2023, 10.3390/vetsci10060383</w:t>
            </w:r>
          </w:p>
        </w:tc>
      </w:tr>
      <w:tr>
        <w:tc>
          <w:tcPr>
            <w:tcW w:type="dxa" w:w="1728"/>
          </w:tcPr>
          <w:p>
            <w:pPr>
              <w:spacing w:line="240" w:lineRule="auto"/>
              <w:jc w:val="left"/>
            </w:pPr>
            <w:r/>
          </w:p>
        </w:tc>
        <w:tc>
          <w:tcPr>
            <w:tcW w:type="dxa" w:w="1728"/>
          </w:tcPr>
          <w:p>
            <w:pPr>
              <w:spacing w:line="240" w:lineRule="auto"/>
              <w:jc w:val="left"/>
            </w:pPr>
            <w:r/>
            <w:r>
              <w:rPr>
                <w:b w:val="0"/>
                <w:i w:val="0"/>
                <w:sz w:val="22"/>
              </w:rPr>
              <w:t>GAPDH</w:t>
            </w:r>
          </w:p>
        </w:tc>
        <w:tc>
          <w:tcPr>
            <w:tcW w:type="dxa" w:w="1728"/>
          </w:tcPr>
          <w:p>
            <w:pPr>
              <w:spacing w:line="240" w:lineRule="auto"/>
              <w:jc w:val="left"/>
            </w:pPr>
            <w:r/>
            <w:r>
              <w:rPr>
                <w:b w:val="0"/>
                <w:i w:val="0"/>
                <w:sz w:val="22"/>
              </w:rPr>
              <w:t>A0A0H3MSV3</w:t>
            </w:r>
          </w:p>
        </w:tc>
        <w:tc>
          <w:tcPr>
            <w:tcW w:type="dxa" w:w="1728"/>
          </w:tcPr>
          <w:p>
            <w:pPr>
              <w:spacing w:line="240" w:lineRule="auto"/>
              <w:jc w:val="left"/>
            </w:pPr>
            <w:r/>
            <w:r>
              <w:rPr>
                <w:b w:val="0"/>
                <w:i w:val="0"/>
                <w:sz w:val="22"/>
              </w:rPr>
              <w:t>Moonlighting candidate</w:t>
            </w:r>
          </w:p>
        </w:tc>
        <w:tc>
          <w:tcPr>
            <w:tcW w:type="dxa" w:w="1728"/>
          </w:tcPr>
          <w:p>
            <w:pPr>
              <w:spacing w:line="240" w:lineRule="auto"/>
              <w:jc w:val="left"/>
            </w:pPr>
            <w:r/>
            <w:r>
              <w:rPr>
                <w:b w:val="0"/>
                <w:i w:val="0"/>
                <w:sz w:val="22"/>
              </w:rPr>
              <w:t>Feng 2009, 10.1086/644602</w:t>
            </w:r>
          </w:p>
        </w:tc>
      </w:tr>
      <w:tr>
        <w:tc>
          <w:tcPr>
            <w:tcW w:type="dxa" w:w="1728"/>
          </w:tcPr>
          <w:p>
            <w:pPr>
              <w:spacing w:line="240" w:lineRule="auto"/>
              <w:jc w:val="left"/>
            </w:pPr>
            <w:r/>
          </w:p>
        </w:tc>
        <w:tc>
          <w:tcPr>
            <w:tcW w:type="dxa" w:w="1728"/>
          </w:tcPr>
          <w:p>
            <w:pPr>
              <w:spacing w:line="240" w:lineRule="auto"/>
              <w:jc w:val="left"/>
            </w:pPr>
            <w:r/>
            <w:r>
              <w:rPr>
                <w:b w:val="0"/>
                <w:i w:val="0"/>
                <w:sz w:val="22"/>
              </w:rPr>
              <w:t>DnaJ</w:t>
            </w:r>
          </w:p>
        </w:tc>
        <w:tc>
          <w:tcPr>
            <w:tcW w:type="dxa" w:w="1728"/>
          </w:tcPr>
          <w:p>
            <w:pPr>
              <w:spacing w:line="240" w:lineRule="auto"/>
              <w:jc w:val="left"/>
            </w:pPr>
            <w:r/>
            <w:r>
              <w:rPr>
                <w:b w:val="0"/>
                <w:i w:val="0"/>
                <w:sz w:val="22"/>
              </w:rPr>
              <w:t>A0A0H3MXM0</w:t>
            </w:r>
          </w:p>
        </w:tc>
        <w:tc>
          <w:tcPr>
            <w:tcW w:type="dxa" w:w="1728"/>
          </w:tcPr>
          <w:p>
            <w:pPr>
              <w:spacing w:line="240" w:lineRule="auto"/>
              <w:jc w:val="left"/>
            </w:pPr>
            <w:r/>
            <w:r>
              <w:rPr>
                <w:b w:val="0"/>
                <w:i w:val="0"/>
                <w:sz w:val="22"/>
              </w:rPr>
              <w:t>Candidate</w:t>
            </w:r>
          </w:p>
        </w:tc>
        <w:tc>
          <w:tcPr>
            <w:tcW w:type="dxa" w:w="1728"/>
          </w:tcPr>
          <w:p>
            <w:pPr>
              <w:spacing w:line="240" w:lineRule="auto"/>
              <w:jc w:val="left"/>
            </w:pPr>
            <w:r/>
            <w:r>
              <w:rPr>
                <w:b w:val="0"/>
                <w:i w:val="0"/>
                <w:sz w:val="22"/>
              </w:rPr>
              <w:t>Zhang 2023, 10.3390/vetsci10060383</w:t>
            </w:r>
          </w:p>
        </w:tc>
      </w:tr>
      <w:tr>
        <w:tc>
          <w:tcPr>
            <w:tcW w:type="dxa" w:w="1728"/>
          </w:tcPr>
          <w:p>
            <w:pPr>
              <w:spacing w:line="240" w:lineRule="auto"/>
              <w:jc w:val="left"/>
            </w:pPr>
            <w:r/>
            <w:r>
              <w:rPr>
                <w:b w:val="0"/>
                <w:i w:val="0"/>
                <w:sz w:val="22"/>
              </w:rPr>
              <w:t>B. suis</w:t>
            </w:r>
          </w:p>
        </w:tc>
        <w:tc>
          <w:tcPr>
            <w:tcW w:type="dxa" w:w="1728"/>
          </w:tcPr>
          <w:p>
            <w:pPr>
              <w:spacing w:line="240" w:lineRule="auto"/>
              <w:jc w:val="left"/>
            </w:pPr>
            <w:r/>
            <w:r>
              <w:rPr>
                <w:b w:val="0"/>
                <w:i w:val="0"/>
                <w:sz w:val="22"/>
              </w:rPr>
              <w:t>Omp25</w:t>
            </w:r>
          </w:p>
        </w:tc>
        <w:tc>
          <w:tcPr>
            <w:tcW w:type="dxa" w:w="1728"/>
          </w:tcPr>
          <w:p>
            <w:pPr>
              <w:spacing w:line="240" w:lineRule="auto"/>
              <w:jc w:val="left"/>
            </w:pPr>
            <w:r/>
            <w:r>
              <w:rPr>
                <w:b w:val="0"/>
                <w:i w:val="0"/>
                <w:sz w:val="22"/>
              </w:rPr>
              <w:t>Q45689</w:t>
            </w:r>
          </w:p>
        </w:tc>
        <w:tc>
          <w:tcPr>
            <w:tcW w:type="dxa" w:w="1728"/>
          </w:tcPr>
          <w:p>
            <w:pPr>
              <w:spacing w:line="240" w:lineRule="auto"/>
              <w:jc w:val="left"/>
            </w:pPr>
            <w:r/>
            <w:r>
              <w:rPr>
                <w:b w:val="0"/>
                <w:i w:val="0"/>
                <w:sz w:val="22"/>
              </w:rPr>
              <w:t>Vet-licensed strain / candidate</w:t>
            </w:r>
          </w:p>
        </w:tc>
        <w:tc>
          <w:tcPr>
            <w:tcW w:type="dxa" w:w="1728"/>
          </w:tcPr>
          <w:p>
            <w:pPr>
              <w:spacing w:line="240" w:lineRule="auto"/>
              <w:jc w:val="left"/>
            </w:pPr>
            <w:r/>
            <w:r>
              <w:rPr>
                <w:b w:val="0"/>
                <w:i w:val="0"/>
                <w:sz w:val="22"/>
              </w:rPr>
              <w:t>Cloeckaert 2002, 10.1016/s0378-1135(02)00211-0</w:t>
            </w:r>
          </w:p>
        </w:tc>
      </w:tr>
      <w:tr>
        <w:tc>
          <w:tcPr>
            <w:tcW w:type="dxa" w:w="1728"/>
          </w:tcPr>
          <w:p>
            <w:pPr>
              <w:spacing w:line="240" w:lineRule="auto"/>
              <w:jc w:val="left"/>
            </w:pPr>
            <w:r/>
          </w:p>
        </w:tc>
        <w:tc>
          <w:tcPr>
            <w:tcW w:type="dxa" w:w="1728"/>
          </w:tcPr>
          <w:p>
            <w:pPr>
              <w:spacing w:line="240" w:lineRule="auto"/>
              <w:jc w:val="left"/>
            </w:pPr>
            <w:r/>
            <w:r>
              <w:rPr>
                <w:b w:val="0"/>
                <w:i w:val="0"/>
                <w:sz w:val="22"/>
              </w:rPr>
              <w:t>Omp31</w:t>
            </w:r>
          </w:p>
        </w:tc>
        <w:tc>
          <w:tcPr>
            <w:tcW w:type="dxa" w:w="1728"/>
          </w:tcPr>
          <w:p>
            <w:pPr>
              <w:spacing w:line="240" w:lineRule="auto"/>
              <w:jc w:val="left"/>
            </w:pPr>
            <w:r/>
            <w:r>
              <w:rPr>
                <w:b w:val="0"/>
                <w:i w:val="0"/>
                <w:sz w:val="22"/>
              </w:rPr>
              <w:t>P0A3U5</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Cloeckaert 2002, 10.1016/s0378-1135(02)00211-0</w:t>
            </w:r>
          </w:p>
        </w:tc>
      </w:tr>
      <w:tr>
        <w:tc>
          <w:tcPr>
            <w:tcW w:type="dxa" w:w="1728"/>
          </w:tcPr>
          <w:p>
            <w:pPr>
              <w:spacing w:line="240" w:lineRule="auto"/>
              <w:jc w:val="left"/>
            </w:pPr>
            <w:r/>
          </w:p>
        </w:tc>
        <w:tc>
          <w:tcPr>
            <w:tcW w:type="dxa" w:w="1728"/>
          </w:tcPr>
          <w:p>
            <w:pPr>
              <w:spacing w:line="240" w:lineRule="auto"/>
              <w:jc w:val="left"/>
            </w:pPr>
            <w:r/>
            <w:r>
              <w:rPr>
                <w:b w:val="0"/>
                <w:i w:val="0"/>
                <w:sz w:val="22"/>
              </w:rPr>
              <w:t>BP26</w:t>
            </w:r>
          </w:p>
        </w:tc>
        <w:tc>
          <w:tcPr>
            <w:tcW w:type="dxa" w:w="1728"/>
          </w:tcPr>
          <w:p>
            <w:pPr>
              <w:spacing w:line="240" w:lineRule="auto"/>
              <w:jc w:val="left"/>
            </w:pPr>
            <w:r/>
            <w:r>
              <w:rPr>
                <w:b w:val="0"/>
                <w:i w:val="0"/>
                <w:sz w:val="22"/>
              </w:rPr>
              <w:t>P0A3U9</w:t>
            </w:r>
          </w:p>
        </w:tc>
        <w:tc>
          <w:tcPr>
            <w:tcW w:type="dxa" w:w="1728"/>
          </w:tcPr>
          <w:p>
            <w:pPr>
              <w:spacing w:line="240" w:lineRule="auto"/>
              <w:jc w:val="left"/>
            </w:pPr>
            <w:r/>
            <w:r>
              <w:rPr>
                <w:b w:val="0"/>
                <w:i w:val="0"/>
                <w:sz w:val="22"/>
              </w:rPr>
              <w:t>Immunodominant / diagnostic</w:t>
            </w:r>
          </w:p>
        </w:tc>
        <w:tc>
          <w:tcPr>
            <w:tcW w:type="dxa" w:w="1728"/>
          </w:tcPr>
          <w:p>
            <w:pPr>
              <w:spacing w:line="240" w:lineRule="auto"/>
              <w:jc w:val="left"/>
            </w:pPr>
            <w:r/>
            <w:r>
              <w:rPr>
                <w:b w:val="0"/>
                <w:i w:val="0"/>
                <w:sz w:val="22"/>
              </w:rPr>
              <w:t>Kim 2013, 10.1016/j.jmb.2013.01.015</w:t>
            </w:r>
          </w:p>
        </w:tc>
      </w:tr>
      <w:tr>
        <w:tc>
          <w:tcPr>
            <w:tcW w:type="dxa" w:w="1728"/>
          </w:tcPr>
          <w:p>
            <w:pPr>
              <w:spacing w:line="240" w:lineRule="auto"/>
              <w:jc w:val="left"/>
            </w:pPr>
            <w:r/>
          </w:p>
        </w:tc>
        <w:tc>
          <w:tcPr>
            <w:tcW w:type="dxa" w:w="1728"/>
          </w:tcPr>
          <w:p>
            <w:pPr>
              <w:spacing w:line="240" w:lineRule="auto"/>
              <w:jc w:val="left"/>
            </w:pPr>
            <w:r/>
            <w:r>
              <w:rPr>
                <w:b w:val="0"/>
                <w:i w:val="0"/>
                <w:sz w:val="22"/>
              </w:rPr>
              <w:t>SodC</w:t>
            </w:r>
          </w:p>
        </w:tc>
        <w:tc>
          <w:tcPr>
            <w:tcW w:type="dxa" w:w="1728"/>
          </w:tcPr>
          <w:p>
            <w:pPr>
              <w:spacing w:line="240" w:lineRule="auto"/>
              <w:jc w:val="left"/>
            </w:pPr>
            <w:r/>
            <w:r>
              <w:rPr>
                <w:b w:val="0"/>
                <w:i w:val="0"/>
                <w:sz w:val="22"/>
              </w:rPr>
              <w:t>P66827</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Oñate 2003, 10.1128/IAI.71.9.4857-4861.2003</w:t>
            </w:r>
          </w:p>
        </w:tc>
      </w:tr>
      <w:tr>
        <w:tc>
          <w:tcPr>
            <w:tcW w:type="dxa" w:w="1728"/>
          </w:tcPr>
          <w:p>
            <w:pPr>
              <w:spacing w:line="240" w:lineRule="auto"/>
              <w:jc w:val="left"/>
            </w:pPr>
            <w:r/>
          </w:p>
        </w:tc>
        <w:tc>
          <w:tcPr>
            <w:tcW w:type="dxa" w:w="1728"/>
          </w:tcPr>
          <w:p>
            <w:pPr>
              <w:spacing w:line="240" w:lineRule="auto"/>
              <w:jc w:val="left"/>
            </w:pPr>
            <w:r/>
            <w:r>
              <w:rPr>
                <w:b w:val="0"/>
                <w:i w:val="0"/>
                <w:sz w:val="22"/>
              </w:rPr>
              <w:t>L7/L12</w:t>
            </w:r>
          </w:p>
        </w:tc>
        <w:tc>
          <w:tcPr>
            <w:tcW w:type="dxa" w:w="1728"/>
          </w:tcPr>
          <w:p>
            <w:pPr>
              <w:spacing w:line="240" w:lineRule="auto"/>
              <w:jc w:val="left"/>
            </w:pPr>
            <w:r/>
            <w:r>
              <w:rPr>
                <w:b w:val="0"/>
                <w:i w:val="0"/>
                <w:sz w:val="22"/>
              </w:rPr>
              <w:t>P0A469</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Luo 2006, 10.1128/IAI.74.5.2734-2741.2006</w:t>
            </w:r>
          </w:p>
        </w:tc>
      </w:tr>
      <w:tr>
        <w:tc>
          <w:tcPr>
            <w:tcW w:type="dxa" w:w="1728"/>
          </w:tcPr>
          <w:p>
            <w:pPr>
              <w:spacing w:line="240" w:lineRule="auto"/>
              <w:jc w:val="left"/>
            </w:pPr>
            <w:r/>
            <w:r>
              <w:rPr>
                <w:b w:val="0"/>
                <w:i w:val="0"/>
                <w:sz w:val="22"/>
              </w:rPr>
              <w:t>M. bovis</w:t>
            </w:r>
          </w:p>
        </w:tc>
        <w:tc>
          <w:tcPr>
            <w:tcW w:type="dxa" w:w="1728"/>
          </w:tcPr>
          <w:p>
            <w:pPr>
              <w:spacing w:line="240" w:lineRule="auto"/>
              <w:jc w:val="left"/>
            </w:pPr>
            <w:r/>
            <w:r>
              <w:rPr>
                <w:b w:val="0"/>
                <w:i w:val="0"/>
                <w:sz w:val="22"/>
              </w:rPr>
              <w:t>ESAT-6</w:t>
            </w:r>
          </w:p>
        </w:tc>
        <w:tc>
          <w:tcPr>
            <w:tcW w:type="dxa" w:w="1728"/>
          </w:tcPr>
          <w:p>
            <w:pPr>
              <w:spacing w:line="240" w:lineRule="auto"/>
              <w:jc w:val="left"/>
            </w:pPr>
            <w:r/>
            <w:r>
              <w:rPr>
                <w:b w:val="0"/>
                <w:i w:val="0"/>
                <w:sz w:val="22"/>
              </w:rPr>
              <w:t>P0A565</w:t>
            </w:r>
          </w:p>
        </w:tc>
        <w:tc>
          <w:tcPr>
            <w:tcW w:type="dxa" w:w="1728"/>
          </w:tcPr>
          <w:p>
            <w:pPr>
              <w:spacing w:line="240" w:lineRule="auto"/>
              <w:jc w:val="left"/>
            </w:pPr>
            <w:r/>
            <w:r>
              <w:rPr>
                <w:b w:val="0"/>
                <w:i w:val="0"/>
                <w:sz w:val="22"/>
              </w:rPr>
              <w:t>Clinical candidate (BCG-related)</w:t>
            </w:r>
          </w:p>
        </w:tc>
        <w:tc>
          <w:tcPr>
            <w:tcW w:type="dxa" w:w="1728"/>
          </w:tcPr>
          <w:p>
            <w:pPr>
              <w:spacing w:line="240" w:lineRule="auto"/>
              <w:jc w:val="left"/>
            </w:pPr>
            <w:r/>
            <w:r>
              <w:rPr>
                <w:b w:val="0"/>
                <w:i w:val="0"/>
                <w:sz w:val="22"/>
              </w:rPr>
              <w:t>Brandt 2000, 10.1128/IAI.68.2.791-795.2000</w:t>
            </w:r>
          </w:p>
        </w:tc>
      </w:tr>
      <w:tr>
        <w:tc>
          <w:tcPr>
            <w:tcW w:type="dxa" w:w="1728"/>
          </w:tcPr>
          <w:p>
            <w:pPr>
              <w:spacing w:line="240" w:lineRule="auto"/>
              <w:jc w:val="left"/>
            </w:pPr>
            <w:r/>
          </w:p>
        </w:tc>
        <w:tc>
          <w:tcPr>
            <w:tcW w:type="dxa" w:w="1728"/>
          </w:tcPr>
          <w:p>
            <w:pPr>
              <w:spacing w:line="240" w:lineRule="auto"/>
              <w:jc w:val="left"/>
            </w:pPr>
            <w:r/>
            <w:r>
              <w:rPr>
                <w:b w:val="0"/>
                <w:i w:val="0"/>
                <w:sz w:val="22"/>
              </w:rPr>
              <w:t>Ag85B</w:t>
            </w:r>
          </w:p>
        </w:tc>
        <w:tc>
          <w:tcPr>
            <w:tcW w:type="dxa" w:w="1728"/>
          </w:tcPr>
          <w:p>
            <w:pPr>
              <w:spacing w:line="240" w:lineRule="auto"/>
              <w:jc w:val="left"/>
            </w:pPr>
            <w:r/>
            <w:r>
              <w:rPr>
                <w:b w:val="0"/>
                <w:i w:val="0"/>
                <w:sz w:val="22"/>
              </w:rPr>
              <w:t>P0C2T2</w:t>
            </w:r>
          </w:p>
        </w:tc>
        <w:tc>
          <w:tcPr>
            <w:tcW w:type="dxa" w:w="1728"/>
          </w:tcPr>
          <w:p>
            <w:pPr>
              <w:spacing w:line="240" w:lineRule="auto"/>
              <w:jc w:val="left"/>
            </w:pPr>
            <w:r/>
            <w:r>
              <w:rPr>
                <w:b w:val="0"/>
                <w:i w:val="0"/>
                <w:sz w:val="22"/>
              </w:rPr>
              <w:t>Clinical candidate (H1/H56)</w:t>
            </w:r>
          </w:p>
        </w:tc>
        <w:tc>
          <w:tcPr>
            <w:tcW w:type="dxa" w:w="1728"/>
          </w:tcPr>
          <w:p>
            <w:pPr>
              <w:spacing w:line="240" w:lineRule="auto"/>
              <w:jc w:val="left"/>
            </w:pPr>
            <w:r/>
            <w:r>
              <w:rPr>
                <w:b w:val="0"/>
                <w:i w:val="0"/>
                <w:sz w:val="22"/>
              </w:rPr>
              <w:t>Davila 2010, 10.1155/2010/208371</w:t>
            </w:r>
          </w:p>
        </w:tc>
      </w:tr>
      <w:tr>
        <w:tc>
          <w:tcPr>
            <w:tcW w:type="dxa" w:w="1728"/>
          </w:tcPr>
          <w:p>
            <w:pPr>
              <w:spacing w:line="240" w:lineRule="auto"/>
              <w:jc w:val="left"/>
            </w:pPr>
            <w:r/>
          </w:p>
        </w:tc>
        <w:tc>
          <w:tcPr>
            <w:tcW w:type="dxa" w:w="1728"/>
          </w:tcPr>
          <w:p>
            <w:pPr>
              <w:spacing w:line="240" w:lineRule="auto"/>
              <w:jc w:val="left"/>
            </w:pPr>
            <w:r/>
            <w:r>
              <w:rPr>
                <w:b w:val="0"/>
                <w:i w:val="0"/>
                <w:sz w:val="22"/>
              </w:rPr>
              <w:t>CFP-10</w:t>
            </w:r>
          </w:p>
        </w:tc>
        <w:tc>
          <w:tcPr>
            <w:tcW w:type="dxa" w:w="1728"/>
          </w:tcPr>
          <w:p>
            <w:pPr>
              <w:spacing w:line="240" w:lineRule="auto"/>
              <w:jc w:val="left"/>
            </w:pPr>
            <w:r/>
            <w:r>
              <w:rPr>
                <w:b w:val="0"/>
                <w:i w:val="0"/>
                <w:sz w:val="22"/>
              </w:rPr>
              <w:t>P0A567</w:t>
            </w:r>
          </w:p>
        </w:tc>
        <w:tc>
          <w:tcPr>
            <w:tcW w:type="dxa" w:w="1728"/>
          </w:tcPr>
          <w:p>
            <w:pPr>
              <w:spacing w:line="240" w:lineRule="auto"/>
              <w:jc w:val="left"/>
            </w:pPr>
            <w:r/>
            <w:r>
              <w:rPr>
                <w:b w:val="0"/>
                <w:i w:val="0"/>
                <w:sz w:val="22"/>
              </w:rPr>
              <w:t>Candidate / diagnostic</w:t>
            </w:r>
          </w:p>
        </w:tc>
        <w:tc>
          <w:tcPr>
            <w:tcW w:type="dxa" w:w="1728"/>
          </w:tcPr>
          <w:p>
            <w:pPr>
              <w:spacing w:line="240" w:lineRule="auto"/>
              <w:jc w:val="left"/>
            </w:pPr>
            <w:r/>
            <w:r>
              <w:rPr>
                <w:b w:val="0"/>
                <w:i w:val="0"/>
                <w:sz w:val="22"/>
              </w:rPr>
              <w:t>Davila 2010, 10.1155/2010/208371</w:t>
            </w:r>
          </w:p>
        </w:tc>
      </w:tr>
      <w:tr>
        <w:tc>
          <w:tcPr>
            <w:tcW w:type="dxa" w:w="1728"/>
          </w:tcPr>
          <w:p>
            <w:pPr>
              <w:spacing w:line="240" w:lineRule="auto"/>
              <w:jc w:val="left"/>
            </w:pPr>
            <w:r/>
          </w:p>
        </w:tc>
        <w:tc>
          <w:tcPr>
            <w:tcW w:type="dxa" w:w="1728"/>
          </w:tcPr>
          <w:p>
            <w:pPr>
              <w:spacing w:line="240" w:lineRule="auto"/>
              <w:jc w:val="left"/>
            </w:pPr>
            <w:r/>
            <w:r>
              <w:rPr>
                <w:b w:val="0"/>
                <w:i w:val="0"/>
                <w:sz w:val="22"/>
              </w:rPr>
              <w:t>MPB64</w:t>
            </w:r>
          </w:p>
        </w:tc>
        <w:tc>
          <w:tcPr>
            <w:tcW w:type="dxa" w:w="1728"/>
          </w:tcPr>
          <w:p>
            <w:pPr>
              <w:spacing w:line="240" w:lineRule="auto"/>
              <w:jc w:val="left"/>
            </w:pPr>
            <w:r/>
            <w:r>
              <w:rPr>
                <w:b w:val="0"/>
                <w:i w:val="0"/>
                <w:sz w:val="22"/>
              </w:rPr>
              <w:t>P0A5Q5</w:t>
            </w:r>
          </w:p>
        </w:tc>
        <w:tc>
          <w:tcPr>
            <w:tcW w:type="dxa" w:w="1728"/>
          </w:tcPr>
          <w:p>
            <w:pPr>
              <w:spacing w:line="240" w:lineRule="auto"/>
              <w:jc w:val="left"/>
            </w:pPr>
            <w:r/>
            <w:r>
              <w:rPr>
                <w:b w:val="0"/>
                <w:i w:val="0"/>
                <w:sz w:val="22"/>
              </w:rPr>
              <w:t>Immunodominant / diagnostic</w:t>
            </w:r>
          </w:p>
        </w:tc>
        <w:tc>
          <w:tcPr>
            <w:tcW w:type="dxa" w:w="1728"/>
          </w:tcPr>
          <w:p>
            <w:pPr>
              <w:spacing w:line="240" w:lineRule="auto"/>
              <w:jc w:val="left"/>
            </w:pPr>
            <w:r/>
            <w:r>
              <w:rPr>
                <w:b w:val="0"/>
                <w:i w:val="0"/>
                <w:sz w:val="22"/>
              </w:rPr>
              <w:t>Brandt 2000, 10.1128/IAI.68.2.791-795.2000</w:t>
            </w:r>
          </w:p>
        </w:tc>
      </w:tr>
      <w:tr>
        <w:tc>
          <w:tcPr>
            <w:tcW w:type="dxa" w:w="1728"/>
          </w:tcPr>
          <w:p>
            <w:pPr>
              <w:spacing w:line="240" w:lineRule="auto"/>
              <w:jc w:val="left"/>
            </w:pPr>
            <w:r/>
          </w:p>
        </w:tc>
        <w:tc>
          <w:tcPr>
            <w:tcW w:type="dxa" w:w="1728"/>
          </w:tcPr>
          <w:p>
            <w:pPr>
              <w:spacing w:line="240" w:lineRule="auto"/>
              <w:jc w:val="left"/>
            </w:pPr>
            <w:r/>
            <w:r>
              <w:rPr>
                <w:b w:val="0"/>
                <w:i w:val="0"/>
                <w:sz w:val="22"/>
              </w:rPr>
              <w:t>HspX</w:t>
            </w:r>
          </w:p>
        </w:tc>
        <w:tc>
          <w:tcPr>
            <w:tcW w:type="dxa" w:w="1728"/>
          </w:tcPr>
          <w:p>
            <w:pPr>
              <w:spacing w:line="240" w:lineRule="auto"/>
              <w:jc w:val="left"/>
            </w:pPr>
            <w:r/>
            <w:r>
              <w:rPr>
                <w:b w:val="0"/>
                <w:i w:val="0"/>
                <w:sz w:val="22"/>
              </w:rPr>
              <w:t>P0A5B8</w:t>
            </w:r>
          </w:p>
        </w:tc>
        <w:tc>
          <w:tcPr>
            <w:tcW w:type="dxa" w:w="1728"/>
          </w:tcPr>
          <w:p>
            <w:pPr>
              <w:spacing w:line="240" w:lineRule="auto"/>
              <w:jc w:val="left"/>
            </w:pPr>
            <w:r/>
            <w:r>
              <w:rPr>
                <w:b w:val="0"/>
                <w:i w:val="0"/>
                <w:sz w:val="22"/>
              </w:rPr>
              <w:t>Immunodominant candidate</w:t>
            </w:r>
          </w:p>
        </w:tc>
        <w:tc>
          <w:tcPr>
            <w:tcW w:type="dxa" w:w="1728"/>
          </w:tcPr>
          <w:p>
            <w:pPr>
              <w:spacing w:line="240" w:lineRule="auto"/>
              <w:jc w:val="left"/>
            </w:pPr>
            <w:r/>
            <w:r>
              <w:rPr>
                <w:b w:val="0"/>
                <w:i w:val="0"/>
                <w:sz w:val="22"/>
              </w:rPr>
              <w:t>Davila 2010, 10.1155/2010/208371</w:t>
            </w:r>
          </w:p>
        </w:tc>
      </w:tr>
      <w:tr>
        <w:tc>
          <w:tcPr>
            <w:tcW w:type="dxa" w:w="1728"/>
          </w:tcPr>
          <w:p>
            <w:pPr>
              <w:spacing w:line="240" w:lineRule="auto"/>
              <w:jc w:val="left"/>
            </w:pPr>
            <w:r/>
            <w:r>
              <w:rPr>
                <w:b w:val="0"/>
                <w:i w:val="0"/>
                <w:sz w:val="22"/>
              </w:rPr>
              <w:t>L. interrogans</w:t>
            </w:r>
          </w:p>
        </w:tc>
        <w:tc>
          <w:tcPr>
            <w:tcW w:type="dxa" w:w="1728"/>
          </w:tcPr>
          <w:p>
            <w:pPr>
              <w:spacing w:line="240" w:lineRule="auto"/>
              <w:jc w:val="left"/>
            </w:pPr>
            <w:r/>
            <w:r>
              <w:rPr>
                <w:b w:val="0"/>
                <w:i w:val="0"/>
                <w:sz w:val="22"/>
              </w:rPr>
              <w:t>LigA</w:t>
            </w:r>
          </w:p>
        </w:tc>
        <w:tc>
          <w:tcPr>
            <w:tcW w:type="dxa" w:w="1728"/>
          </w:tcPr>
          <w:p>
            <w:pPr>
              <w:spacing w:line="240" w:lineRule="auto"/>
              <w:jc w:val="left"/>
            </w:pPr>
            <w:r/>
            <w:r>
              <w:rPr>
                <w:b w:val="0"/>
                <w:i w:val="0"/>
                <w:sz w:val="22"/>
              </w:rPr>
              <w:t>Q8EYU4</w:t>
            </w:r>
          </w:p>
        </w:tc>
        <w:tc>
          <w:tcPr>
            <w:tcW w:type="dxa" w:w="1728"/>
          </w:tcPr>
          <w:p>
            <w:pPr>
              <w:spacing w:line="240" w:lineRule="auto"/>
              <w:jc w:val="left"/>
            </w:pPr>
            <w:r/>
            <w:r>
              <w:rPr>
                <w:b w:val="0"/>
                <w:i w:val="0"/>
                <w:sz w:val="22"/>
              </w:rPr>
              <w:t>Vet-licensed strain / candidate</w:t>
            </w:r>
          </w:p>
        </w:tc>
        <w:tc>
          <w:tcPr>
            <w:tcW w:type="dxa" w:w="1728"/>
          </w:tcPr>
          <w:p>
            <w:pPr>
              <w:spacing w:line="240" w:lineRule="auto"/>
              <w:jc w:val="left"/>
            </w:pPr>
            <w:r/>
            <w:r>
              <w:rPr>
                <w:b w:val="0"/>
                <w:i w:val="0"/>
                <w:sz w:val="22"/>
              </w:rPr>
              <w:t>Faisal 2007, 10.1016/j.vaccine.2007.10.029</w:t>
            </w:r>
          </w:p>
        </w:tc>
      </w:tr>
      <w:tr>
        <w:tc>
          <w:tcPr>
            <w:tcW w:type="dxa" w:w="1728"/>
          </w:tcPr>
          <w:p>
            <w:pPr>
              <w:spacing w:line="240" w:lineRule="auto"/>
              <w:jc w:val="left"/>
            </w:pPr>
            <w:r/>
          </w:p>
        </w:tc>
        <w:tc>
          <w:tcPr>
            <w:tcW w:type="dxa" w:w="1728"/>
          </w:tcPr>
          <w:p>
            <w:pPr>
              <w:spacing w:line="240" w:lineRule="auto"/>
              <w:jc w:val="left"/>
            </w:pPr>
            <w:r/>
            <w:r>
              <w:rPr>
                <w:b w:val="0"/>
                <w:i w:val="0"/>
                <w:sz w:val="22"/>
              </w:rPr>
              <w:t>LigB</w:t>
            </w:r>
          </w:p>
        </w:tc>
        <w:tc>
          <w:tcPr>
            <w:tcW w:type="dxa" w:w="1728"/>
          </w:tcPr>
          <w:p>
            <w:pPr>
              <w:spacing w:line="240" w:lineRule="auto"/>
              <w:jc w:val="left"/>
            </w:pPr>
            <w:r/>
            <w:r>
              <w:rPr>
                <w:b w:val="0"/>
                <w:i w:val="0"/>
                <w:sz w:val="22"/>
              </w:rPr>
              <w:t>Q8EZS3</w:t>
            </w:r>
          </w:p>
        </w:tc>
        <w:tc>
          <w:tcPr>
            <w:tcW w:type="dxa" w:w="1728"/>
          </w:tcPr>
          <w:p>
            <w:pPr>
              <w:spacing w:line="240" w:lineRule="auto"/>
              <w:jc w:val="left"/>
            </w:pPr>
            <w:r/>
            <w:r>
              <w:rPr>
                <w:b w:val="0"/>
                <w:i w:val="0"/>
                <w:sz w:val="22"/>
              </w:rPr>
              <w:t>Preclinical candidate</w:t>
            </w:r>
          </w:p>
        </w:tc>
        <w:tc>
          <w:tcPr>
            <w:tcW w:type="dxa" w:w="1728"/>
          </w:tcPr>
          <w:p>
            <w:pPr>
              <w:spacing w:line="240" w:lineRule="auto"/>
              <w:jc w:val="left"/>
            </w:pPr>
            <w:r/>
            <w:r>
              <w:rPr>
                <w:b w:val="0"/>
                <w:i w:val="0"/>
                <w:sz w:val="22"/>
              </w:rPr>
              <w:t>Faisal 2007, 10.1016/j.vaccine.2007.10.029</w:t>
            </w:r>
          </w:p>
        </w:tc>
      </w:tr>
      <w:tr>
        <w:tc>
          <w:tcPr>
            <w:tcW w:type="dxa" w:w="1728"/>
          </w:tcPr>
          <w:p>
            <w:pPr>
              <w:spacing w:line="240" w:lineRule="auto"/>
              <w:jc w:val="left"/>
            </w:pPr>
            <w:r/>
          </w:p>
        </w:tc>
        <w:tc>
          <w:tcPr>
            <w:tcW w:type="dxa" w:w="1728"/>
          </w:tcPr>
          <w:p>
            <w:pPr>
              <w:spacing w:line="240" w:lineRule="auto"/>
              <w:jc w:val="left"/>
            </w:pPr>
            <w:r/>
            <w:r>
              <w:rPr>
                <w:b w:val="0"/>
                <w:i w:val="0"/>
                <w:sz w:val="22"/>
              </w:rPr>
              <w:t>LipL32</w:t>
            </w:r>
          </w:p>
        </w:tc>
        <w:tc>
          <w:tcPr>
            <w:tcW w:type="dxa" w:w="1728"/>
          </w:tcPr>
          <w:p>
            <w:pPr>
              <w:spacing w:line="240" w:lineRule="auto"/>
              <w:jc w:val="left"/>
            </w:pPr>
            <w:r/>
            <w:r>
              <w:rPr>
                <w:b w:val="0"/>
                <w:i w:val="0"/>
                <w:sz w:val="22"/>
              </w:rPr>
              <w:t>O34094</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Feng 2009, 10.1590/s0100-879x2009005000013</w:t>
            </w:r>
          </w:p>
        </w:tc>
      </w:tr>
      <w:tr>
        <w:tc>
          <w:tcPr>
            <w:tcW w:type="dxa" w:w="1728"/>
          </w:tcPr>
          <w:p>
            <w:pPr>
              <w:spacing w:line="240" w:lineRule="auto"/>
              <w:jc w:val="left"/>
            </w:pPr>
            <w:r/>
          </w:p>
        </w:tc>
        <w:tc>
          <w:tcPr>
            <w:tcW w:type="dxa" w:w="1728"/>
          </w:tcPr>
          <w:p>
            <w:pPr>
              <w:spacing w:line="240" w:lineRule="auto"/>
              <w:jc w:val="left"/>
            </w:pPr>
            <w:r/>
            <w:r>
              <w:rPr>
                <w:b w:val="0"/>
                <w:i w:val="0"/>
                <w:sz w:val="22"/>
              </w:rPr>
              <w:t>LipL41</w:t>
            </w:r>
          </w:p>
        </w:tc>
        <w:tc>
          <w:tcPr>
            <w:tcW w:type="dxa" w:w="1728"/>
          </w:tcPr>
          <w:p>
            <w:pPr>
              <w:spacing w:line="240" w:lineRule="auto"/>
              <w:jc w:val="left"/>
            </w:pPr>
            <w:r/>
            <w:r>
              <w:rPr>
                <w:b w:val="0"/>
                <w:i w:val="0"/>
                <w:sz w:val="22"/>
              </w:rPr>
              <w:t>Q8F8E1</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Feng 2009, 10.1590/s0100-879x2009005000013</w:t>
            </w:r>
          </w:p>
        </w:tc>
      </w:tr>
      <w:tr>
        <w:tc>
          <w:tcPr>
            <w:tcW w:type="dxa" w:w="1728"/>
          </w:tcPr>
          <w:p>
            <w:pPr>
              <w:spacing w:line="240" w:lineRule="auto"/>
              <w:jc w:val="left"/>
            </w:pPr>
            <w:r/>
          </w:p>
        </w:tc>
        <w:tc>
          <w:tcPr>
            <w:tcW w:type="dxa" w:w="1728"/>
          </w:tcPr>
          <w:p>
            <w:pPr>
              <w:spacing w:line="240" w:lineRule="auto"/>
              <w:jc w:val="left"/>
            </w:pPr>
            <w:r/>
            <w:r>
              <w:rPr>
                <w:b w:val="0"/>
                <w:i w:val="0"/>
                <w:sz w:val="22"/>
              </w:rPr>
              <w:t>OmpL1</w:t>
            </w:r>
          </w:p>
        </w:tc>
        <w:tc>
          <w:tcPr>
            <w:tcW w:type="dxa" w:w="1728"/>
          </w:tcPr>
          <w:p>
            <w:pPr>
              <w:spacing w:line="240" w:lineRule="auto"/>
              <w:jc w:val="left"/>
            </w:pPr>
            <w:r/>
            <w:r>
              <w:rPr>
                <w:b w:val="0"/>
                <w:i w:val="0"/>
                <w:sz w:val="22"/>
              </w:rPr>
              <w:t>G1UB30</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Feng 2009, 10.1590/s0100-879x2009005000013</w:t>
            </w:r>
          </w:p>
        </w:tc>
      </w:tr>
      <w:tr>
        <w:tc>
          <w:tcPr>
            <w:tcW w:type="dxa" w:w="1728"/>
          </w:tcPr>
          <w:p>
            <w:pPr>
              <w:spacing w:line="240" w:lineRule="auto"/>
              <w:jc w:val="left"/>
            </w:pPr>
            <w:r/>
            <w:r>
              <w:rPr>
                <w:b w:val="0"/>
                <w:i w:val="0"/>
                <w:sz w:val="22"/>
              </w:rPr>
              <w:t>B. anthracis</w:t>
            </w:r>
          </w:p>
        </w:tc>
        <w:tc>
          <w:tcPr>
            <w:tcW w:type="dxa" w:w="1728"/>
          </w:tcPr>
          <w:p>
            <w:pPr>
              <w:spacing w:line="240" w:lineRule="auto"/>
              <w:jc w:val="left"/>
            </w:pPr>
            <w:r/>
            <w:r>
              <w:rPr>
                <w:b w:val="0"/>
                <w:i w:val="0"/>
                <w:sz w:val="22"/>
              </w:rPr>
              <w:t>PA (pagA)</w:t>
            </w:r>
          </w:p>
        </w:tc>
        <w:tc>
          <w:tcPr>
            <w:tcW w:type="dxa" w:w="1728"/>
          </w:tcPr>
          <w:p>
            <w:pPr>
              <w:spacing w:line="240" w:lineRule="auto"/>
              <w:jc w:val="left"/>
            </w:pPr>
            <w:r/>
            <w:r>
              <w:rPr>
                <w:b w:val="0"/>
                <w:i w:val="0"/>
                <w:sz w:val="22"/>
              </w:rPr>
              <w:t>P13423</w:t>
            </w:r>
          </w:p>
        </w:tc>
        <w:tc>
          <w:tcPr>
            <w:tcW w:type="dxa" w:w="1728"/>
          </w:tcPr>
          <w:p>
            <w:pPr>
              <w:spacing w:line="240" w:lineRule="auto"/>
              <w:jc w:val="left"/>
            </w:pPr>
            <w:r/>
            <w:r>
              <w:rPr>
                <w:b w:val="0"/>
                <w:i w:val="0"/>
                <w:sz w:val="22"/>
              </w:rPr>
              <w:t>Licensed (BioThrax/AVA, AVP)</w:t>
            </w:r>
          </w:p>
        </w:tc>
        <w:tc>
          <w:tcPr>
            <w:tcW w:type="dxa" w:w="1728"/>
          </w:tcPr>
          <w:p>
            <w:pPr>
              <w:spacing w:line="240" w:lineRule="auto"/>
              <w:jc w:val="left"/>
            </w:pPr>
            <w:r/>
            <w:r>
              <w:rPr>
                <w:b w:val="0"/>
                <w:i w:val="0"/>
                <w:sz w:val="22"/>
              </w:rPr>
              <w:t>Rhie 2005, 10.1016/j.femsim.2005.05.009</w:t>
            </w:r>
          </w:p>
        </w:tc>
      </w:tr>
      <w:tr>
        <w:tc>
          <w:tcPr>
            <w:tcW w:type="dxa" w:w="1728"/>
          </w:tcPr>
          <w:p>
            <w:pPr>
              <w:spacing w:line="240" w:lineRule="auto"/>
              <w:jc w:val="left"/>
            </w:pPr>
            <w:r/>
          </w:p>
        </w:tc>
        <w:tc>
          <w:tcPr>
            <w:tcW w:type="dxa" w:w="1728"/>
          </w:tcPr>
          <w:p>
            <w:pPr>
              <w:spacing w:line="240" w:lineRule="auto"/>
              <w:jc w:val="left"/>
            </w:pPr>
            <w:r/>
            <w:r>
              <w:rPr>
                <w:b w:val="0"/>
                <w:i w:val="0"/>
                <w:sz w:val="22"/>
              </w:rPr>
              <w:t>LF (lef)</w:t>
            </w:r>
          </w:p>
        </w:tc>
        <w:tc>
          <w:tcPr>
            <w:tcW w:type="dxa" w:w="1728"/>
          </w:tcPr>
          <w:p>
            <w:pPr>
              <w:spacing w:line="240" w:lineRule="auto"/>
              <w:jc w:val="left"/>
            </w:pPr>
            <w:r/>
            <w:r>
              <w:rPr>
                <w:b w:val="0"/>
                <w:i w:val="0"/>
                <w:sz w:val="22"/>
              </w:rPr>
              <w:t>P15917</w:t>
            </w:r>
          </w:p>
        </w:tc>
        <w:tc>
          <w:tcPr>
            <w:tcW w:type="dxa" w:w="1728"/>
          </w:tcPr>
          <w:p>
            <w:pPr>
              <w:spacing w:line="240" w:lineRule="auto"/>
              <w:jc w:val="left"/>
            </w:pPr>
            <w:r/>
            <w:r>
              <w:rPr>
                <w:b w:val="0"/>
                <w:i w:val="0"/>
                <w:sz w:val="22"/>
              </w:rPr>
              <w:t>Preclinical (protective)</w:t>
            </w:r>
          </w:p>
        </w:tc>
        <w:tc>
          <w:tcPr>
            <w:tcW w:type="dxa" w:w="1728"/>
          </w:tcPr>
          <w:p>
            <w:pPr>
              <w:spacing w:line="240" w:lineRule="auto"/>
              <w:jc w:val="left"/>
            </w:pPr>
            <w:r/>
            <w:r>
              <w:rPr>
                <w:b w:val="0"/>
                <w:i w:val="0"/>
                <w:sz w:val="22"/>
              </w:rPr>
              <w:t>Baillie 2010, 10.1016/j.vaccine.2010.07.075</w:t>
            </w:r>
          </w:p>
        </w:tc>
      </w:tr>
      <w:tr>
        <w:tc>
          <w:tcPr>
            <w:tcW w:type="dxa" w:w="1728"/>
          </w:tcPr>
          <w:p>
            <w:pPr>
              <w:spacing w:line="240" w:lineRule="auto"/>
              <w:jc w:val="left"/>
            </w:pPr>
            <w:r/>
          </w:p>
        </w:tc>
        <w:tc>
          <w:tcPr>
            <w:tcW w:type="dxa" w:w="1728"/>
          </w:tcPr>
          <w:p>
            <w:pPr>
              <w:spacing w:line="240" w:lineRule="auto"/>
              <w:jc w:val="left"/>
            </w:pPr>
            <w:r/>
            <w:r>
              <w:rPr>
                <w:b w:val="0"/>
                <w:i w:val="0"/>
                <w:sz w:val="22"/>
              </w:rPr>
              <w:t>EF (cya)</w:t>
            </w:r>
          </w:p>
        </w:tc>
        <w:tc>
          <w:tcPr>
            <w:tcW w:type="dxa" w:w="1728"/>
          </w:tcPr>
          <w:p>
            <w:pPr>
              <w:spacing w:line="240" w:lineRule="auto"/>
              <w:jc w:val="left"/>
            </w:pPr>
            <w:r/>
            <w:r>
              <w:rPr>
                <w:b w:val="0"/>
                <w:i w:val="0"/>
                <w:sz w:val="22"/>
              </w:rPr>
              <w:t>P40136</w:t>
            </w:r>
          </w:p>
        </w:tc>
        <w:tc>
          <w:tcPr>
            <w:tcW w:type="dxa" w:w="1728"/>
          </w:tcPr>
          <w:p>
            <w:pPr>
              <w:spacing w:line="240" w:lineRule="auto"/>
              <w:jc w:val="left"/>
            </w:pPr>
            <w:r/>
            <w:r>
              <w:rPr>
                <w:b w:val="0"/>
                <w:i w:val="0"/>
                <w:sz w:val="22"/>
              </w:rPr>
              <w:t>Toxin component / candidate</w:t>
            </w:r>
          </w:p>
        </w:tc>
        <w:tc>
          <w:tcPr>
            <w:tcW w:type="dxa" w:w="1728"/>
          </w:tcPr>
          <w:p>
            <w:pPr>
              <w:spacing w:line="240" w:lineRule="auto"/>
              <w:jc w:val="left"/>
            </w:pPr>
            <w:r/>
            <w:r>
              <w:rPr>
                <w:b w:val="0"/>
                <w:i w:val="0"/>
                <w:sz w:val="22"/>
              </w:rPr>
              <w:t>Baillie 2010, 10.1016/j.vaccine.2010.07.075</w:t>
            </w:r>
          </w:p>
        </w:tc>
      </w:tr>
      <w:tr>
        <w:tc>
          <w:tcPr>
            <w:tcW w:type="dxa" w:w="1728"/>
          </w:tcPr>
          <w:p>
            <w:pPr>
              <w:spacing w:line="240" w:lineRule="auto"/>
              <w:jc w:val="left"/>
            </w:pPr>
            <w:r/>
          </w:p>
        </w:tc>
        <w:tc>
          <w:tcPr>
            <w:tcW w:type="dxa" w:w="1728"/>
          </w:tcPr>
          <w:p>
            <w:pPr>
              <w:spacing w:line="240" w:lineRule="auto"/>
              <w:jc w:val="left"/>
            </w:pPr>
            <w:r/>
            <w:r>
              <w:rPr>
                <w:b w:val="0"/>
                <w:i w:val="0"/>
                <w:sz w:val="22"/>
              </w:rPr>
              <w:t>CapB (γ-PGA)</w:t>
            </w:r>
          </w:p>
        </w:tc>
        <w:tc>
          <w:tcPr>
            <w:tcW w:type="dxa" w:w="1728"/>
          </w:tcPr>
          <w:p>
            <w:pPr>
              <w:spacing w:line="240" w:lineRule="auto"/>
              <w:jc w:val="left"/>
            </w:pPr>
            <w:r/>
            <w:r>
              <w:rPr>
                <w:b w:val="0"/>
                <w:i w:val="0"/>
                <w:sz w:val="22"/>
              </w:rPr>
              <w:t>P19580</w:t>
            </w:r>
          </w:p>
        </w:tc>
        <w:tc>
          <w:tcPr>
            <w:tcW w:type="dxa" w:w="1728"/>
          </w:tcPr>
          <w:p>
            <w:pPr>
              <w:spacing w:line="240" w:lineRule="auto"/>
              <w:jc w:val="left"/>
            </w:pPr>
            <w:r/>
            <w:r>
              <w:rPr>
                <w:b w:val="0"/>
                <w:i w:val="0"/>
                <w:sz w:val="22"/>
              </w:rPr>
              <w:t>Preclinical (protective adjunct)</w:t>
            </w:r>
          </w:p>
        </w:tc>
        <w:tc>
          <w:tcPr>
            <w:tcW w:type="dxa" w:w="1728"/>
          </w:tcPr>
          <w:p>
            <w:pPr>
              <w:spacing w:line="240" w:lineRule="auto"/>
              <w:jc w:val="left"/>
            </w:pPr>
            <w:r/>
            <w:r>
              <w:rPr>
                <w:b w:val="0"/>
                <w:i w:val="0"/>
                <w:sz w:val="22"/>
              </w:rPr>
              <w:t>Schneerson 2003, 10.1073/pnas.1633512100</w:t>
            </w:r>
          </w:p>
        </w:tc>
      </w:tr>
      <w:tr>
        <w:tc>
          <w:tcPr>
            <w:tcW w:type="dxa" w:w="1728"/>
          </w:tcPr>
          <w:p>
            <w:pPr>
              <w:spacing w:line="240" w:lineRule="auto"/>
              <w:jc w:val="left"/>
            </w:pPr>
            <w:r/>
          </w:p>
        </w:tc>
        <w:tc>
          <w:tcPr>
            <w:tcW w:type="dxa" w:w="1728"/>
          </w:tcPr>
          <w:p>
            <w:pPr>
              <w:spacing w:line="240" w:lineRule="auto"/>
              <w:jc w:val="left"/>
            </w:pPr>
            <w:r/>
            <w:r>
              <w:rPr>
                <w:b w:val="0"/>
                <w:i w:val="0"/>
                <w:sz w:val="22"/>
              </w:rPr>
              <w:t>EA1 (S-layer)</w:t>
            </w:r>
          </w:p>
        </w:tc>
        <w:tc>
          <w:tcPr>
            <w:tcW w:type="dxa" w:w="1728"/>
          </w:tcPr>
          <w:p>
            <w:pPr>
              <w:spacing w:line="240" w:lineRule="auto"/>
              <w:jc w:val="left"/>
            </w:pPr>
            <w:r/>
            <w:r>
              <w:rPr>
                <w:b w:val="0"/>
                <w:i w:val="0"/>
                <w:sz w:val="22"/>
              </w:rPr>
              <w:t>P94217</w:t>
            </w:r>
          </w:p>
        </w:tc>
        <w:tc>
          <w:tcPr>
            <w:tcW w:type="dxa" w:w="1728"/>
          </w:tcPr>
          <w:p>
            <w:pPr>
              <w:spacing w:line="240" w:lineRule="auto"/>
              <w:jc w:val="left"/>
            </w:pPr>
            <w:r/>
            <w:r>
              <w:rPr>
                <w:b w:val="0"/>
                <w:i w:val="0"/>
                <w:sz w:val="22"/>
              </w:rPr>
              <w:t>Immunodominant candidate</w:t>
            </w:r>
          </w:p>
        </w:tc>
        <w:tc>
          <w:tcPr>
            <w:tcW w:type="dxa" w:w="1728"/>
          </w:tcPr>
          <w:p>
            <w:pPr>
              <w:spacing w:line="240" w:lineRule="auto"/>
              <w:jc w:val="left"/>
            </w:pPr>
            <w:r/>
            <w:r>
              <w:rPr>
                <w:b w:val="0"/>
                <w:i w:val="0"/>
                <w:sz w:val="22"/>
              </w:rPr>
              <w:t>—</w:t>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 xml:space="preserve">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nine further bacteria at full proteome scale VaxForge reached 33 of 44 against 43 of 44 for Vaxign-ML and 13 of 44 for NERVE 2.0. The high recall of the independent machine-learning classifier is in line with the performance Ong et al. (2020) reported for Vaxign-ML, which strengthens these recall estimates rather than leaving them tool-specific. VaxForge trailed Vaxign-ML on two species, </w:t>
      </w:r>
      <w:r>
        <w:rPr>
          <w:b w:val="0"/>
          <w:i/>
          <w:sz w:val="24"/>
        </w:rPr>
        <w:t>C. burnetii</w:t>
      </w:r>
      <w:r>
        <w:rPr>
          <w:b w:val="0"/>
          <w:i w:val="0"/>
          <w:sz w:val="24"/>
        </w:rPr>
        <w:t xml:space="preserve"> and </w:t>
      </w:r>
      <w:r>
        <w:rPr>
          <w:b w:val="0"/>
          <w:i/>
          <w:sz w:val="24"/>
        </w:rPr>
        <w:t>S. suis</w:t>
      </w:r>
      <w:r>
        <w:rPr>
          <w:b w:val="0"/>
          <w:i w:val="0"/>
          <w:sz w:val="24"/>
        </w:rPr>
        <w:t>, whose protective antigens are cytoplasmic moonlighting proteins that its localisation filter removes; this marks the practical boundary of a localisation-gated funnel and the point at which a user chasing a non-classical surface antigen would relax that gate.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