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four host species, and a characterised multi-epitope construct, and that ends in an in silico immunisation step. We benchmarked VaxForge against two established tools, NERVE 2.0 and Vaxign-ML, under default parameters and identical inputs. On the meningococcal exemplar VaxForge recovered all four licensed 4CMenB antigens, matching Vaxign-ML, where NERVE 2.0 recovered only one. Across nine further zoonotic bacteria run at full proteome scale, spanning genome sizes from 2.0 to 5.5 Mb and forty-four protective antigens, VaxForge recovered 33, below the sequence-only classifier Vaxign-ML (43 of 44) but well ahead of NERVE 2.0 (13 of 44), while placing protective antigens at competitive or higher ranks (for example iron-regulated surface determinant B at rank 4 of 2,889 proteins). VaxForge matched Vaxign-ML on species whose protective antigens are secreted or surface-exposed and fell behind only on two species whose antigens are cytoplasmic proteins that moonlight on the cell surface, which its localisation filter removes by design, an interpretable trade-off rather than an artefact. NERVE 2.0 reached higher fold enrichment but only by discarding surface antigens under its hard selection cascade, returning none for four of the nine species, which shows that fold enrichment alone is misleading. Across ten viruses spanning seven families, VaxForge recovered the protective or patented antigen within the top quartile of candidates for eight, and resolved host-specific epitope repertoires that differed between species in every case (pairwise Jaccard overlap below one, and zero for some host pairs), a dimension the comparators cannot address; on antigen ranking the head-to-head against Vaxign-ML was balanced (four wins each and two ties, NERVE 2.0 being unable to process viruses).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and porcine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ten bacteria and ten viruses, and we report a pipeline validation that surfaced and fixed three scale-dependent defects and a virus-specific antigen-filter defect during the work.</w:t>
      </w:r>
    </w:p>
    <w:p>
      <w:pPr>
        <w:spacing w:before="200"/>
      </w:pPr>
      <w:r>
        <w:rPr>
          <w:b/>
          <w:i w:val="0"/>
          <w:sz w:val="26"/>
        </w:rPr>
        <w:t>Materials and 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nine further species at full proteome scale. The first three were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The remaining six were zoonotic bacteria that all four mammalian hosts can infect, selected to span genome size and cell biology: </w:t>
      </w:r>
      <w:r>
        <w:rPr>
          <w:b w:val="0"/>
          <w:i/>
          <w:sz w:val="24"/>
        </w:rPr>
        <w:t>Coxiella burnetii</w:t>
      </w:r>
      <w:r>
        <w:rPr>
          <w:b w:val="0"/>
          <w:i w:val="0"/>
          <w:sz w:val="24"/>
        </w:rPr>
        <w:t xml:space="preserve"> RSA 493 (UP000002671, 1,812 proteins; obligate intracellular), </w:t>
      </w:r>
      <w:r>
        <w:rPr>
          <w:b w:val="0"/>
          <w:i/>
          <w:sz w:val="24"/>
        </w:rPr>
        <w:t>Streptococcus suis</w:t>
      </w:r>
      <w:r>
        <w:rPr>
          <w:b w:val="0"/>
          <w:i w:val="0"/>
          <w:sz w:val="24"/>
        </w:rPr>
        <w:t xml:space="preserve"> serotype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a spirochaete) and </w:t>
      </w:r>
      <w:r>
        <w:rPr>
          <w:b w:val="0"/>
          <w:i/>
          <w:sz w:val="24"/>
        </w:rPr>
        <w:t>Bacillus anthracis</w:t>
      </w:r>
      <w:r>
        <w:rPr>
          <w:b w:val="0"/>
          <w:i w:val="0"/>
          <w:sz w:val="24"/>
        </w:rPr>
        <w:t xml:space="preserve"> Ames Ancestor (UP000000594, 5,493 proteins, chromosome plus the pXO1 and pXO2 plasmids that carry the toxin and capsule antigens), with four or five protective antigens each. The protective antigens of all nine species, with their evidence and DOIs, are listed in `PROTECTIVE_ANTIGENS.md` and their accessions in `PATHOGEN_ACCESSIONS.md`. The viral arm used ten viruses that all four mammalian hosts naturally infect, across seven families: rabies virus (</w:t>
      </w:r>
      <w:r>
        <w:rPr>
          <w:b w:val="0"/>
          <w:i/>
          <w:sz w:val="24"/>
        </w:rPr>
        <w:t>Lyssavirus rabies</w:t>
      </w:r>
      <w:r>
        <w:rPr>
          <w:b w:val="0"/>
          <w:i w:val="0"/>
          <w:sz w:val="24"/>
        </w:rPr>
        <w:t>; NC_001542, glycoprotein G at NP_056796) and vesicular stomatitis Indiana virus (</w:t>
      </w:r>
      <w:r>
        <w:rPr>
          <w:b w:val="0"/>
          <w:i/>
          <w:sz w:val="24"/>
        </w:rPr>
        <w:t>Vesiculovirus indiana</w:t>
      </w:r>
      <w:r>
        <w:rPr>
          <w:b w:val="0"/>
          <w:i w:val="0"/>
          <w:sz w:val="24"/>
        </w:rPr>
        <w:t>; NC_001560, glycoprotein G) of the Rhabdoviridae; encephalomyocarditis virus (</w:t>
      </w:r>
      <w:r>
        <w:rPr>
          <w:b w:val="0"/>
          <w:i/>
          <w:sz w:val="24"/>
        </w:rPr>
        <w:t>Cardiovirus A</w:t>
      </w:r>
      <w:r>
        <w:rPr>
          <w:b w:val="0"/>
          <w:i w:val="0"/>
          <w:sz w:val="24"/>
        </w:rPr>
        <w:t>; NC_001479, capsid VP1) of the Picornaviridae; Venezuelan equine encephalitis virus (NC_001449, E2) and Getah virus (NC_006558, structural polyprotein carrying E2) of the Togaviridae; Japanese encephalitis virus (NC_001437, envelope E) of the Flaviviridae; Rift Valley fever virus (NC_014397, glycoprotein Gn/Gc) of the Phenuiviridae; mammalian orthoreovirus (σ1 attachment protein) of the Reoviridae; and vaccinia (NC_006998, L1R) and cowpox (NC_003663, L1R ortholog) viruses of the Poxviridae. Each ground-truth antigen carries a protective, licensed or patented vaccine target, with patents and evidence listed in `PATENTED_VACCINES.md`. For the polyprotein and segmented viruses, mature peptides were extracted where annotated, and for the two orthopoxviruses a single RefSeq reference was used with the cowpox L1R identified by orthology to the vaccinia L1R.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 and their roles.</w:t>
      </w:r>
      <w:r>
        <w:rPr>
          <w:b w:val="0"/>
          <w:i w:val="0"/>
          <w:sz w:val="24"/>
        </w:rPr>
        <w:t xml:space="preserve"> VaxForge was compared with the two reverse vaccinology tools that are current, locally installable and most widely used for bacterial antigen prediction, so that the comparison reflects what a user would actually run (Table 1). Vaxign-ML (Ong et al., 2020) is a supervised machine-learning classifier that takes a protein proteome and returns a protegenicity probability for each protein, ranking candidates but producing no epitopes, host information or construct. NERVE 2.0 (Conte et al., 2024) is an end-to-end bacterial reverse vaccinology environment that takes a bacterial proteome and a Gram label and returns a shortlist of candidate proteins after a cascade of hard selection filters, followed by an optional epitope-prediction module that reports linear MHC-I/II binders and population coverage for human HLA supertypes (Conte et al., 2024). VaxForge takes a proteome, coding sequences or a genome, for bacteria or viruses, and returns ranked antigens together with host-specific epitopes, a multi-epitope construct and an in silico immunisation readout. Both comparators were installed locally in containers and run with default parameters on identical input, with no threshold tuning; recall over ground-truth antigens and the antigen ranks were read from each tool's native output.</w:t>
      </w:r>
    </w:p>
    <w:p>
      <w:r>
        <w:rPr>
          <w:b/>
          <w:i w:val="0"/>
          <w:sz w:val="24"/>
        </w:rPr>
        <w:t>Table 1.</w:t>
      </w:r>
      <w:r>
        <w:rPr>
          <w:b w:val="0"/>
          <w:i w:val="0"/>
          <w:sz w:val="24"/>
        </w:rPr>
        <w:t xml:space="preserve"> Inputs, outputs and capabilities of the three compared tools (✓ present, ✗ absent). Comparator capabilities are stated as described in their source publications (NERVE 2.0, Conte et al., 2024; Vaxign-ML, Ong et al.,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Capability</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Input</w:t>
            </w:r>
          </w:p>
        </w:tc>
        <w:tc>
          <w:tcPr>
            <w:tcW w:type="dxa" w:w="2160"/>
          </w:tcPr>
          <w:p>
            <w:pPr>
              <w:spacing w:line="240" w:lineRule="auto"/>
              <w:jc w:val="left"/>
            </w:pPr>
            <w:r/>
            <w:r>
              <w:rPr>
                <w:b w:val="0"/>
                <w:i w:val="0"/>
                <w:sz w:val="22"/>
              </w:rPr>
              <w:t>proteome, CDS or genome (auto-detected)</w:t>
            </w:r>
          </w:p>
        </w:tc>
        <w:tc>
          <w:tcPr>
            <w:tcW w:type="dxa" w:w="2160"/>
          </w:tcPr>
          <w:p>
            <w:pPr>
              <w:spacing w:line="240" w:lineRule="auto"/>
              <w:jc w:val="left"/>
            </w:pPr>
            <w:r/>
            <w:r>
              <w:rPr>
                <w:b w:val="0"/>
                <w:i w:val="0"/>
                <w:sz w:val="22"/>
              </w:rPr>
              <w:t>bacterial proteome + Gram type</w:t>
            </w:r>
          </w:p>
        </w:tc>
        <w:tc>
          <w:tcPr>
            <w:tcW w:type="dxa" w:w="2160"/>
          </w:tcPr>
          <w:p>
            <w:pPr>
              <w:spacing w:line="240" w:lineRule="auto"/>
              <w:jc w:val="left"/>
            </w:pPr>
            <w:r/>
            <w:r>
              <w:rPr>
                <w:b w:val="0"/>
                <w:i w:val="0"/>
                <w:sz w:val="22"/>
              </w:rPr>
              <w:t>bacterial protein proteome</w:t>
            </w:r>
          </w:p>
        </w:tc>
      </w:tr>
      <w:tr>
        <w:tc>
          <w:tcPr>
            <w:tcW w:type="dxa" w:w="2160"/>
          </w:tcPr>
          <w:p>
            <w:pPr>
              <w:spacing w:line="240" w:lineRule="auto"/>
              <w:jc w:val="left"/>
            </w:pPr>
            <w:r/>
            <w:r>
              <w:rPr>
                <w:b w:val="0"/>
                <w:i w:val="0"/>
                <w:sz w:val="22"/>
              </w:rPr>
              <w:t>Supported pathogens</w:t>
            </w:r>
          </w:p>
        </w:tc>
        <w:tc>
          <w:tcPr>
            <w:tcW w:type="dxa" w:w="2160"/>
          </w:tcPr>
          <w:p>
            <w:pPr>
              <w:spacing w:line="240" w:lineRule="auto"/>
              <w:jc w:val="left"/>
            </w:pPr>
            <w:r/>
            <w:r>
              <w:rPr>
                <w:b w:val="0"/>
                <w:i w:val="0"/>
                <w:sz w:val="22"/>
              </w:rPr>
              <w:t>bacteria and viruses</w:t>
            </w:r>
          </w:p>
        </w:tc>
        <w:tc>
          <w:tcPr>
            <w:tcW w:type="dxa" w:w="2160"/>
          </w:tcPr>
          <w:p>
            <w:pPr>
              <w:spacing w:line="240" w:lineRule="auto"/>
              <w:jc w:val="left"/>
            </w:pPr>
            <w:r/>
            <w:r>
              <w:rPr>
                <w:b w:val="0"/>
                <w:i w:val="0"/>
                <w:sz w:val="22"/>
              </w:rPr>
              <w:t>bacteria only</w:t>
            </w:r>
          </w:p>
        </w:tc>
        <w:tc>
          <w:tcPr>
            <w:tcW w:type="dxa" w:w="2160"/>
          </w:tcPr>
          <w:p>
            <w:pPr>
              <w:spacing w:line="240" w:lineRule="auto"/>
              <w:jc w:val="left"/>
            </w:pPr>
            <w:r/>
            <w:r>
              <w:rPr>
                <w:b w:val="0"/>
                <w:i w:val="0"/>
                <w:sz w:val="22"/>
              </w:rPr>
              <w:t>bacteria (viruses not described in publication)</w:t>
            </w:r>
          </w:p>
        </w:tc>
      </w:tr>
      <w:tr>
        <w:tc>
          <w:tcPr>
            <w:tcW w:type="dxa" w:w="2160"/>
          </w:tcPr>
          <w:p>
            <w:pPr>
              <w:spacing w:line="240" w:lineRule="auto"/>
              <w:jc w:val="left"/>
            </w:pPr>
            <w:r/>
            <w:r>
              <w:rPr>
                <w:b w:val="0"/>
                <w:i w:val="0"/>
                <w:sz w:val="22"/>
              </w:rPr>
              <w:t>Approach</w:t>
            </w:r>
          </w:p>
        </w:tc>
        <w:tc>
          <w:tcPr>
            <w:tcW w:type="dxa" w:w="2160"/>
          </w:tcPr>
          <w:p>
            <w:pPr>
              <w:spacing w:line="240" w:lineRule="auto"/>
              <w:jc w:val="left"/>
            </w:pPr>
            <w:r/>
            <w:r>
              <w:rPr>
                <w:b w:val="0"/>
                <w:i w:val="0"/>
                <w:sz w:val="22"/>
              </w:rPr>
              <w:t>rule + ML hybrid funnel with an immunological layer</w:t>
            </w:r>
          </w:p>
        </w:tc>
        <w:tc>
          <w:tcPr>
            <w:tcW w:type="dxa" w:w="2160"/>
          </w:tcPr>
          <w:p>
            <w:pPr>
              <w:spacing w:line="240" w:lineRule="auto"/>
              <w:jc w:val="left"/>
            </w:pPr>
            <w:r/>
            <w:r>
              <w:rPr>
                <w:b w:val="0"/>
                <w:i w:val="0"/>
                <w:sz w:val="22"/>
              </w:rPr>
              <w:t>rule-based modular pipeline with AI modules</w:t>
            </w:r>
          </w:p>
        </w:tc>
        <w:tc>
          <w:tcPr>
            <w:tcW w:type="dxa" w:w="2160"/>
          </w:tcPr>
          <w:p>
            <w:pPr>
              <w:spacing w:line="240" w:lineRule="auto"/>
              <w:jc w:val="left"/>
            </w:pPr>
            <w:r/>
            <w:r>
              <w:rPr>
                <w:b w:val="0"/>
                <w:i w:val="0"/>
                <w:sz w:val="22"/>
              </w:rPr>
              <w:t>supervised ML classifier (XGBoost)</w:t>
            </w:r>
          </w:p>
        </w:tc>
      </w:tr>
      <w:tr>
        <w:tc>
          <w:tcPr>
            <w:tcW w:type="dxa" w:w="2160"/>
          </w:tcPr>
          <w:p>
            <w:pPr>
              <w:spacing w:line="240" w:lineRule="auto"/>
              <w:jc w:val="left"/>
            </w:pPr>
            <w:r/>
            <w:r>
              <w:rPr>
                <w:b w:val="0"/>
                <w:i w:val="0"/>
                <w:sz w:val="22"/>
              </w:rPr>
              <w:t>Antigen ranking</w:t>
            </w:r>
          </w:p>
        </w:tc>
        <w:tc>
          <w:tcPr>
            <w:tcW w:type="dxa" w:w="2160"/>
          </w:tcPr>
          <w:p>
            <w:pPr>
              <w:spacing w:line="240" w:lineRule="auto"/>
              <w:jc w:val="left"/>
            </w:pPr>
            <w:r/>
            <w:r>
              <w:rPr>
                <w:b w:val="0"/>
                <w:i w:val="0"/>
                <w:sz w:val="22"/>
              </w:rPr>
              <w:t>✓ weighted candidacy score</w:t>
            </w:r>
          </w:p>
        </w:tc>
        <w:tc>
          <w:tcPr>
            <w:tcW w:type="dxa" w:w="2160"/>
          </w:tcPr>
          <w:p>
            <w:pPr>
              <w:spacing w:line="240" w:lineRule="auto"/>
              <w:jc w:val="left"/>
            </w:pPr>
            <w:r/>
            <w:r>
              <w:rPr>
                <w:b w:val="0"/>
                <w:i w:val="0"/>
                <w:sz w:val="22"/>
              </w:rPr>
              <w:t>✓ Select + score</w:t>
            </w:r>
          </w:p>
        </w:tc>
        <w:tc>
          <w:tcPr>
            <w:tcW w:type="dxa" w:w="2160"/>
          </w:tcPr>
          <w:p>
            <w:pPr>
              <w:spacing w:line="240" w:lineRule="auto"/>
              <w:jc w:val="left"/>
            </w:pPr>
            <w:r/>
            <w:r>
              <w:rPr>
                <w:b w:val="0"/>
                <w:i w:val="0"/>
                <w:sz w:val="22"/>
              </w:rPr>
              <w:t>✓ protegenicity score</w:t>
            </w:r>
          </w:p>
        </w:tc>
      </w:tr>
      <w:tr>
        <w:tc>
          <w:tcPr>
            <w:tcW w:type="dxa" w:w="2160"/>
          </w:tcPr>
          <w:p>
            <w:pPr>
              <w:spacing w:line="240" w:lineRule="auto"/>
              <w:jc w:val="left"/>
            </w:pPr>
            <w:r/>
            <w:r>
              <w:rPr>
                <w:b w:val="0"/>
                <w:i w:val="0"/>
                <w:sz w:val="22"/>
              </w:rPr>
              <w:t>Autoimmunity (host-homology) filter</w:t>
            </w:r>
          </w:p>
        </w:tc>
        <w:tc>
          <w:tcPr>
            <w:tcW w:type="dxa" w:w="2160"/>
          </w:tcPr>
          <w:p>
            <w:pPr>
              <w:spacing w:line="240" w:lineRule="auto"/>
              <w:jc w:val="left"/>
            </w:pPr>
            <w:r/>
            <w:r>
              <w:rPr>
                <w:b w:val="0"/>
                <w:i w:val="0"/>
                <w:sz w:val="22"/>
              </w:rPr>
              <w:t>✓ human, mandatory</w:t>
            </w:r>
          </w:p>
        </w:tc>
        <w:tc>
          <w:tcPr>
            <w:tcW w:type="dxa" w:w="2160"/>
          </w:tcPr>
          <w:p>
            <w:pPr>
              <w:spacing w:line="240" w:lineRule="auto"/>
              <w:jc w:val="left"/>
            </w:pPr>
            <w:r/>
            <w:r>
              <w:rPr>
                <w:b w:val="0"/>
                <w:i w:val="0"/>
                <w:sz w:val="22"/>
              </w:rPr>
              <w:t>✓ human + optional mouse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Retains virulence-negative antigens</w:t>
            </w:r>
          </w:p>
        </w:tc>
        <w:tc>
          <w:tcPr>
            <w:tcW w:type="dxa" w:w="2160"/>
          </w:tcPr>
          <w:p>
            <w:pPr>
              <w:spacing w:line="240" w:lineRule="auto"/>
              <w:jc w:val="left"/>
            </w:pPr>
            <w:r/>
            <w:r>
              <w:rPr>
                <w:b w:val="0"/>
                <w:i w:val="0"/>
                <w:sz w:val="22"/>
              </w:rPr>
              <w:t>✓ soft funnel</w:t>
            </w:r>
          </w:p>
        </w:tc>
        <w:tc>
          <w:tcPr>
            <w:tcW w:type="dxa" w:w="2160"/>
          </w:tcPr>
          <w:p>
            <w:pPr>
              <w:spacing w:line="240" w:lineRule="auto"/>
              <w:jc w:val="left"/>
            </w:pPr>
            <w:r/>
            <w:r>
              <w:rPr>
                <w:b w:val="0"/>
                <w:i w:val="0"/>
                <w:sz w:val="22"/>
              </w:rPr>
              <w:t>✗ hard Select removes them</w:t>
            </w:r>
          </w:p>
        </w:tc>
        <w:tc>
          <w:tcPr>
            <w:tcW w:type="dxa" w:w="2160"/>
          </w:tcPr>
          <w:p>
            <w:pPr>
              <w:spacing w:line="240" w:lineRule="auto"/>
              <w:jc w:val="left"/>
            </w:pPr>
            <w:r/>
            <w:r>
              <w:rPr>
                <w:b w:val="0"/>
                <w:i w:val="0"/>
                <w:sz w:val="22"/>
              </w:rPr>
              <w:t>✓ score-based</w:t>
            </w:r>
          </w:p>
        </w:tc>
      </w:tr>
      <w:tr>
        <w:tc>
          <w:tcPr>
            <w:tcW w:type="dxa" w:w="2160"/>
          </w:tcPr>
          <w:p>
            <w:pPr>
              <w:spacing w:line="240" w:lineRule="auto"/>
              <w:jc w:val="left"/>
            </w:pPr>
            <w:r/>
            <w:r>
              <w:rPr>
                <w:b w:val="0"/>
                <w:i w:val="0"/>
                <w:sz w:val="22"/>
              </w:rPr>
              <w:t>T-cell / MHC epitope prediction</w:t>
            </w:r>
          </w:p>
        </w:tc>
        <w:tc>
          <w:tcPr>
            <w:tcW w:type="dxa" w:w="2160"/>
          </w:tcPr>
          <w:p>
            <w:pPr>
              <w:spacing w:line="240" w:lineRule="auto"/>
              <w:jc w:val="left"/>
            </w:pPr>
            <w:r/>
            <w:r>
              <w:rPr>
                <w:b w:val="0"/>
                <w:i w:val="0"/>
                <w:sz w:val="22"/>
              </w:rPr>
              <w:t>✓ NetMHCpan/II + processing + immunogenicity</w:t>
            </w:r>
          </w:p>
        </w:tc>
        <w:tc>
          <w:tcPr>
            <w:tcW w:type="dxa" w:w="2160"/>
          </w:tcPr>
          <w:p>
            <w:pPr>
              <w:spacing w:line="240" w:lineRule="auto"/>
              <w:jc w:val="left"/>
            </w:pPr>
            <w:r/>
            <w:r>
              <w:rPr>
                <w:b w:val="0"/>
                <w:i w:val="0"/>
                <w:sz w:val="22"/>
              </w:rPr>
              <w:t>✓ MHC-I/II, linear, human HLA supertypes</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B-cell epitope prediction</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Host-specific MHC allele selection</w:t>
            </w:r>
          </w:p>
        </w:tc>
        <w:tc>
          <w:tcPr>
            <w:tcW w:type="dxa" w:w="2160"/>
          </w:tcPr>
          <w:p>
            <w:pPr>
              <w:spacing w:line="240" w:lineRule="auto"/>
              <w:jc w:val="left"/>
            </w:pPr>
            <w:r/>
            <w:r>
              <w:rPr>
                <w:b w:val="0"/>
                <w:i w:val="0"/>
                <w:sz w:val="22"/>
              </w:rPr>
              <w:t>✓ human/mouse/cattle/pig</w:t>
            </w:r>
          </w:p>
        </w:tc>
        <w:tc>
          <w:tcPr>
            <w:tcW w:type="dxa" w:w="2160"/>
          </w:tcPr>
          <w:p>
            <w:pPr>
              <w:spacing w:line="240" w:lineRule="auto"/>
              <w:jc w:val="left"/>
            </w:pPr>
            <w:r/>
            <w:r>
              <w:rPr>
                <w:b w:val="0"/>
                <w:i w:val="0"/>
                <w:sz w:val="22"/>
              </w:rPr>
              <w:t>partial (epitopes human HLA only; mouse for safety)</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Population coverage</w:t>
            </w:r>
          </w:p>
        </w:tc>
        <w:tc>
          <w:tcPr>
            <w:tcW w:type="dxa" w:w="2160"/>
          </w:tcPr>
          <w:p>
            <w:pPr>
              <w:spacing w:line="240" w:lineRule="auto"/>
              <w:jc w:val="left"/>
            </w:pPr>
            <w:r/>
            <w:r>
              <w:rPr>
                <w:b w:val="0"/>
                <w:i w:val="0"/>
                <w:sz w:val="22"/>
              </w:rPr>
              <w:t>✓ human HLA (other hosts reported "no data")</w:t>
            </w:r>
          </w:p>
        </w:tc>
        <w:tc>
          <w:tcPr>
            <w:tcW w:type="dxa" w:w="2160"/>
          </w:tcPr>
          <w:p>
            <w:pPr>
              <w:spacing w:line="240" w:lineRule="auto"/>
              <w:jc w:val="left"/>
            </w:pPr>
            <w:r/>
            <w:r>
              <w:rPr>
                <w:b w:val="0"/>
                <w:i w:val="0"/>
                <w:sz w:val="22"/>
              </w:rPr>
              <w:t>✓ human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Multi-epitope construct</w:t>
            </w:r>
          </w:p>
        </w:tc>
        <w:tc>
          <w:tcPr>
            <w:tcW w:type="dxa" w:w="2160"/>
          </w:tcPr>
          <w:p>
            <w:pPr>
              <w:spacing w:line="240" w:lineRule="auto"/>
              <w:jc w:val="left"/>
            </w:pPr>
            <w:r/>
            <w:r>
              <w:rPr>
                <w:b w:val="0"/>
                <w:i w:val="0"/>
                <w:sz w:val="22"/>
              </w:rPr>
              <w:t>✓ linkers + adjuvant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immunisation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Primary output</w:t>
            </w:r>
          </w:p>
        </w:tc>
        <w:tc>
          <w:tcPr>
            <w:tcW w:type="dxa" w:w="2160"/>
          </w:tcPr>
          <w:p>
            <w:pPr>
              <w:spacing w:line="240" w:lineRule="auto"/>
              <w:jc w:val="left"/>
            </w:pPr>
            <w:r/>
            <w:r>
              <w:rPr>
                <w:b w:val="0"/>
                <w:i w:val="0"/>
                <w:sz w:val="22"/>
              </w:rPr>
              <w:t>ranked antigens + host-specific epitopes + construct + immunisation</w:t>
            </w:r>
          </w:p>
        </w:tc>
        <w:tc>
          <w:tcPr>
            <w:tcW w:type="dxa" w:w="2160"/>
          </w:tcPr>
          <w:p>
            <w:pPr>
              <w:spacing w:line="240" w:lineRule="auto"/>
              <w:jc w:val="left"/>
            </w:pPr>
            <w:r/>
            <w:r>
              <w:rPr>
                <w:b w:val="0"/>
                <w:i w:val="0"/>
                <w:sz w:val="22"/>
              </w:rPr>
              <w:t>PVC shortlist + T-cell epitopes / population coverage</w:t>
            </w:r>
          </w:p>
        </w:tc>
        <w:tc>
          <w:tcPr>
            <w:tcW w:type="dxa" w:w="2160"/>
          </w:tcPr>
          <w:p>
            <w:pPr>
              <w:spacing w:line="240" w:lineRule="auto"/>
              <w:jc w:val="left"/>
            </w:pPr>
            <w:r/>
            <w:r>
              <w:rPr>
                <w:b w:val="0"/>
                <w:i w:val="0"/>
                <w:sz w:val="22"/>
              </w:rPr>
              <w:t>protegenicity score per protein</w:t>
            </w:r>
          </w:p>
        </w:tc>
      </w:tr>
    </w:tbl>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three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A third defect appeared only at the largest proteomes: the parallel class I workers shared one scratch directory, so concurrent NetMHCpan instances could deadlock on each other and stall a run indefinitely, which was resolved by giving each worker an isolated temporary directory and a bounded per-chunk timeout. Control experiments confirmed that the toxicity and allergenicity filters were not responsible, and the affected species were re-run after the fixes.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then enter the immunological layer, which is the core of the pipeline. NetMHCpan and NetMHCIIpan (Reynisson et al., 2020) score class I and class II binding for the alleles of the chosen host, so that a T-cell epitope is only kept if it is presented in the intended species. Three further predictors refine the T-cell readout: class I immunogenicity (Calis et al., 2013), proteasomal cleavage together with TAP transport for antigen processing (Larsen et al., 2005), and, for antibody targets, linear B-cell epitopes from BepiPred-3.0 (Clifford et al., 2022). For the selected epitopes VaxForge estimates population coverage across human HLA alleles, and it reports that value as unavailable, rather than imputed, for hosts where allele-frequency data do not exist. The retained epitopes are assembled into a multi-epitope construct with defined linkers (AAY between cytotoxic epitopes, GPGPG between helper epitopes and KK for B-cell epitopes) and an adjuvant, and the construct passes to an in silico immunisation step that simulates the antibody and isotype response over time. Every method is reported with its citation, so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2;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i w:val="0"/>
          <w:sz w:val="24"/>
        </w:rPr>
        <w:t>Table 2.</w:t>
      </w:r>
      <w:r>
        <w:rPr>
          <w:b w:val="0"/>
          <w:i w:val="0"/>
          <w:sz w:val="24"/>
        </w:rPr>
        <w:t xml:space="preserve">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Figure 1.</w:t>
      </w:r>
      <w:r>
        <w:rPr>
          <w:b w:val="0"/>
          <w:i w:val="0"/>
          <w:sz w:val="24"/>
        </w:rPr>
        <w:t xml:space="preserve"> VaxForge and Vaxign-ML recover all four licensed meningococcal antigens, whereas NERVE 2.0 recovers only PorA. Each point is one tool's result for one antigen, and colour identifies the tool (legend, top right). The number beside each point is that antigen's rank in the tool's candidate list, meaning its position from the top (1 is first, and a lower number is better). A cross in the "not recovered" column marks an antigen the tool did not return at all. Ranks and recall were computed under default parameters on identical input.</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Figure 2.</w:t>
      </w:r>
      <w:r>
        <w:rPr>
          <w:b w:val="0"/>
          <w:i w:val="0"/>
          <w:sz w:val="24"/>
        </w:rPr>
        <w:t xml:space="preserve"> Recall over known antigens separates the tools more clearly than area-under-curve. Per-tool recall of the four meningococcal antigens with secondary AUC annotation; AUC carries a small-sample caveat and is not used as the headline metric (n = 4 positives).</w:t>
      </w:r>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Figure 3.</w:t>
      </w:r>
      <w:r>
        <w:rPr>
          <w:b w:val="0"/>
          <w:i w:val="0"/>
          <w:sz w:val="24"/>
        </w:rPr>
        <w:t xml:space="preserve"> High fold enrichment does not imply high recall. Each bar is the fold enrichment of the known protective antigens in one tool's candidate list, that is, how many times more concentrated the known antigens are among the candidates than expected by chance. The label above each bar is that run's recall, the count of known antigens the tool actually recovered out of the total (4/4 means all four were recovered, 1/4 only one). The dashed line marks the published NERVE 2.0 fold value of 16.6. NERVE 2.0 reaches the highest fold with the lowest recall.</w:t>
      </w:r>
    </w:p>
    <w:p>
      <w:r>
        <w:rPr>
          <w:b/>
          <w:i w:val="0"/>
          <w:sz w:val="24"/>
        </w:rPr>
        <w:t>The pattern generalises across nine bacteria and genome scale, with an honest limit on non-classical antigens.</w:t>
      </w:r>
      <w:r>
        <w:rPr>
          <w:b w:val="0"/>
          <w:i w:val="0"/>
          <w:sz w:val="24"/>
        </w:rPr>
        <w:t xml:space="preserve"> To move well beyond a single exemplar we ran nine zoonotic bacteria at full proteome scale, each a natural pathogen of all four mammalian hosts, chosen to span genome size from 2.0 to 5.5 Mb and to balance Gram type and cell biology, from the obligate intracellular </w:t>
      </w:r>
      <w:r>
        <w:rPr>
          <w:b w:val="0"/>
          <w:i/>
          <w:sz w:val="24"/>
        </w:rPr>
        <w:t>Coxiella burnetii</w:t>
      </w:r>
      <w:r>
        <w:rPr>
          <w:b w:val="0"/>
          <w:i w:val="0"/>
          <w:sz w:val="24"/>
        </w:rPr>
        <w:t xml:space="preserve">, through the spirochaete </w:t>
      </w:r>
      <w:r>
        <w:rPr>
          <w:b w:val="0"/>
          <w:i/>
          <w:sz w:val="24"/>
        </w:rPr>
        <w:t>Leptospira interrogans</w:t>
      </w:r>
      <w:r>
        <w:rPr>
          <w:b w:val="0"/>
          <w:i w:val="0"/>
          <w:sz w:val="24"/>
        </w:rPr>
        <w:t xml:space="preserve">, to the plasmid-encoded toxins of </w:t>
      </w:r>
      <w:r>
        <w:rPr>
          <w:b w:val="0"/>
          <w:i/>
          <w:sz w:val="24"/>
        </w:rPr>
        <w:t>Bacillus anthracis</w:t>
      </w:r>
      <w:r>
        <w:rPr>
          <w:b w:val="0"/>
          <w:i w:val="0"/>
          <w:sz w:val="24"/>
        </w:rPr>
        <w:t xml:space="preserve"> (Table 3). Across the forty-four protective antigens of these nine species VaxForge recovered 33 (Figure 4), below the sequence-only classifier Vaxign-ML, which recovered 43, and well ahead of NERVE 2.0, which recovered 13. VaxForge reached 4 of 5 or 5 of 5 on seven of the nine species, including </w:t>
      </w:r>
      <w:r>
        <w:rPr>
          <w:b w:val="0"/>
          <w:i/>
          <w:sz w:val="24"/>
        </w:rPr>
        <w:t>Staphylococcus aureus</w:t>
      </w:r>
      <w:r>
        <w:rPr>
          <w:b w:val="0"/>
          <w:i w:val="0"/>
          <w:sz w:val="24"/>
        </w:rPr>
        <w:t xml:space="preserve"> (iron-regulated surface determinant B at rank 4 of 2,889), </w:t>
      </w:r>
      <w:r>
        <w:rPr>
          <w:b w:val="0"/>
          <w:i/>
          <w:sz w:val="24"/>
        </w:rPr>
        <w:t>Salmonella enterica</w:t>
      </w:r>
      <w:r>
        <w:rPr>
          <w:b w:val="0"/>
          <w:i w:val="0"/>
          <w:sz w:val="24"/>
        </w:rPr>
        <w:t xml:space="preserve"> serovar Typhimurium (5 of 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Leptospira interrogans</w:t>
      </w:r>
      <w:r>
        <w:rPr>
          <w:b w:val="0"/>
          <w:i w:val="0"/>
          <w:sz w:val="24"/>
        </w:rPr>
        <w:t xml:space="preserve"> and </w:t>
      </w:r>
      <w:r>
        <w:rPr>
          <w:b w:val="0"/>
          <w:i/>
          <w:sz w:val="24"/>
        </w:rPr>
        <w:t>Bacillus anthracis</w:t>
      </w:r>
      <w:r>
        <w:rPr>
          <w:b w:val="0"/>
          <w:i w:val="0"/>
          <w:sz w:val="24"/>
        </w:rPr>
        <w:t xml:space="preserve">, for which the anthrax protective antigen was among those recovered. NERVE 2.0 again discarded surface antigens under its hard selection cascade, returning none of the protective antigens for four of the nine species, even where, as on </w:t>
      </w:r>
      <w:r>
        <w:rPr>
          <w:b w:val="0"/>
          <w:i/>
          <w:sz w:val="24"/>
        </w:rPr>
        <w:t>B. suis</w:t>
      </w:r>
      <w:r>
        <w:rPr>
          <w:b w:val="0"/>
          <w:i w:val="0"/>
          <w:sz w:val="24"/>
        </w:rPr>
        <w:t xml:space="preserve"> and </w:t>
      </w:r>
      <w:r>
        <w:rPr>
          <w:b w:val="0"/>
          <w:i/>
          <w:sz w:val="24"/>
        </w:rPr>
        <w:t>B. anthracis</w:t>
      </w:r>
      <w:r>
        <w:rPr>
          <w:b w:val="0"/>
          <w:i w:val="0"/>
          <w:sz w:val="24"/>
        </w:rPr>
        <w:t>, it reached the highest fold enrichment of any tool.</w:t>
      </w:r>
    </w:p>
    <w:p>
      <w:r>
        <w:rPr>
          <w:b w:val="0"/>
          <w:i w:val="0"/>
          <w:sz w:val="24"/>
        </w:rPr>
        <w:t xml:space="preserve">The two species where VaxForge fell behind, </w:t>
      </w:r>
      <w:r>
        <w:rPr>
          <w:b w:val="0"/>
          <w:i/>
          <w:sz w:val="24"/>
        </w:rPr>
        <w:t>Coxiella burnetii</w:t>
      </w:r>
      <w:r>
        <w:rPr>
          <w:b w:val="0"/>
          <w:i w:val="0"/>
          <w:sz w:val="24"/>
        </w:rPr>
        <w:t xml:space="preserve"> (2 of 4) and </w:t>
      </w:r>
      <w:r>
        <w:rPr>
          <w:b w:val="0"/>
          <w:i/>
          <w:sz w:val="24"/>
        </w:rPr>
        <w:t>Streptococcus suis</w:t>
      </w:r>
      <w:r>
        <w:rPr>
          <w:b w:val="0"/>
          <w:i w:val="0"/>
          <w:sz w:val="24"/>
        </w:rPr>
        <w:t xml:space="preserve"> (1 of 5), expose a real and interpretable limit rather than a defect. The antigens it missed there, glyceraldehyde-3-phosphate dehydrogenase, enolase, 6-phosphogluconate dehydrogenase and the DnaJ and GroEL chaperones, are classically cytoplasmic proteins that moonlight on the cell surface. VaxForge removes them at its localisation hard filter by design, whereas Vaxign-ML, which scores sequence directly with no localisation gate, retains them. The behaviour is therefore a deliberate trade-off: the localisation filter suppresses cytoplasmic false positives at whole-proteome scale but also excludes non-classical surface antigens, and a user targeting a moonlighting antigen would relax that filter. On the species where both tools reached full recall VaxForge placed the protective antigens at competitive or higher ranks, and its single miss on </w:t>
      </w:r>
      <w:r>
        <w:rPr>
          <w:b w:val="0"/>
          <w:i/>
          <w:sz w:val="24"/>
        </w:rPr>
        <w:t>L. monocytogenes</w:t>
      </w:r>
      <w:r>
        <w:rPr>
          <w:b w:val="0"/>
          <w:i w:val="0"/>
          <w:sz w:val="24"/>
        </w:rPr>
        <w:t>, ActA, also ranked at the bottom of the Vaxign-ML list, so it reflects a hard target rather than a pipeline fault. During these full-proteome runs we identified and corrected three scale-dependent engineering defects that had artefactually lowered VaxForge recall in first-pass runs; the localisation and class I steps each collapsed under a single oversized batch, and at the largest scale the parallel class I workers could deadlock on a shared scratch directory, all three now repartitioned into bounded, isolated sub-batches (`MANUSCRIPT_METHODS.md`, section B). Control experiments confirmed that the toxicity and allergenicity filters were not responsible.</w:t>
      </w:r>
    </w:p>
    <w:p>
      <w:r>
        <w:rPr>
          <w:b/>
          <w:i w:val="0"/>
          <w:sz w:val="24"/>
        </w:rPr>
        <w:t>Table 3.</w:t>
      </w:r>
      <w:r>
        <w:rPr>
          <w:b w:val="0"/>
          <w:i w:val="0"/>
          <w:sz w:val="24"/>
        </w:rPr>
        <w:t xml:space="preserve"> Nine-bacterium head-to-head at full proteome scale (default parameters, identical input), ordered by genome size. Each species carries four or five protective antigens.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 proteins)</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Figure 4.</w:t>
      </w:r>
      <w:r>
        <w:rPr>
          <w:b w:val="0"/>
          <w:i w:val="0"/>
          <w:sz w:val="24"/>
        </w:rPr>
        <w:t xml:space="preserve"> The recall pattern across ten bacteria at full proteome scale, ordered by genome size. Recall over the known protective antigens for each tool, shown as a fraction with the recovered-of-total count above each bar because the antigen count differs between species; the meningococcal exemplar is included alongside the nine generalisation species and an asterisk marks the six zoonotic bacteria added in this work. VaxForge matches Vaxign-ML on species whose protective antigens are secreted or surface-exposed and falls behind only on </w:t>
      </w:r>
      <w:r>
        <w:rPr>
          <w:b w:val="0"/>
          <w:i/>
          <w:sz w:val="24"/>
        </w:rPr>
        <w:t>C. burnetii</w:t>
      </w:r>
      <w:r>
        <w:rPr>
          <w:b w:val="0"/>
          <w:i w:val="0"/>
          <w:sz w:val="24"/>
        </w:rPr>
        <w:t xml:space="preserve"> and </w:t>
      </w:r>
      <w:r>
        <w:rPr>
          <w:b w:val="0"/>
          <w:i/>
          <w:sz w:val="24"/>
        </w:rPr>
        <w:t>S. suis</w:t>
      </w:r>
      <w:r>
        <w:rPr>
          <w:b w:val="0"/>
          <w:i w:val="0"/>
          <w:sz w:val="24"/>
        </w:rPr>
        <w:t>, whose missed antigens are cytoplasmic moonlighting proteins that the localisation filter removes by design; NERVE 2.0 recovers none of the antigens for four species.</w:t>
      </w:r>
    </w:p>
    <w:p>
      <w:r>
        <w:rPr>
          <w:b/>
          <w:i w:val="0"/>
          <w:sz w:val="24"/>
        </w:rPr>
        <w:t>Host selection changes the predicted epitope repertoire, a dimension the comparators cannot address.</w:t>
      </w:r>
      <w:r>
        <w:rPr>
          <w:b w:val="0"/>
          <w:i w:val="0"/>
          <w:sz w:val="24"/>
        </w:rPr>
        <w:t xml:space="preserve"> VaxForge draws binding predictions from curated allele panels for four hosts, human, mouse, bovine and pig (Table 4), taken from IMGT/HLA for human and IPD-MHC for the others. For human, mouse and bovine, both class I and class II run on real NetMHCpan and NetMHCIIpan models, including the BoLA-DRB3 class II panel for cattle; pig class I is real while its class II rests on a single validated allele. The panels are representative subsets rather than the complete databases, and invalid allele names are dropped at runtime, so the reported epitopes are conservative.</w:t>
      </w:r>
    </w:p>
    <w:p>
      <w:r>
        <w:rPr>
          <w:b/>
          <w:i w:val="0"/>
          <w:sz w:val="24"/>
        </w:rPr>
        <w:t>Table 4.</w:t>
      </w:r>
      <w:r>
        <w:rPr>
          <w:b w:val="0"/>
          <w:i w:val="0"/>
          <w:sz w:val="24"/>
        </w:rPr>
        <w:t xml:space="preserve">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The viral arm was built to exercise this host-specific presentation, and we expanded it to ten viruses that all four mammalian hosts naturally infect, spanning seven families (Rhabdoviridae, Togaviridae, Flaviviridae, Phenuiviridae, Picornaviridae, Reoviridae and Poxviridae). For each virus the ground-truth antigen was the protein carrying the protective, patented or licensed vaccine target (for example the rabies and vesicular-stomatitis glycoprotein G, the alphavirus E2, the flavivirus envelope E, the bunyavirus Gn/Gc, the orthopoxvirus L1R and the picornavirus capsid VP1; patents and evidence in `PATENTED_VACCINES.md`). Viral envelope and capsid antigens are the intended vaccine targets yet are membrane-embedded, so a transmembrane-count filter tuned for bacteria discards them; we therefore made that filter soft for the viral profile and added a surface-exposure signal (Methods). With this in place VaxForge recovered the protective antigen within the top quartile of candidates for eight of the ten viruses, placing it first for Getah, Rift Valley fever and Japanese encephalitis and second for rabies, vesicular stomatitis and Venezuelan equine encephalitis (Table 5; Figure 6). Against Vaxign-ML the head-to-head was mixed and honestly so: VaxForge ranked the target higher on four viruses, Vaxign-ML on four, and the two tied on two, confirming that neither general ranker dominates on viral antigens. The one clear VaxForge weakness, reovirus σ1 at rank 9 of 11, is explained rather than hidden: σ1 is a fibre protein with no membrane anchor, so it receives no surface-exposure credit, whereas Vaxign-ML placed it first; this is a genuine limitation of anchoring the viral signal on membrane topology.</w:t>
      </w:r>
    </w:p>
    <w:p>
      <w:r>
        <w:rPr>
          <w:b w:val="0"/>
          <w:i w:val="0"/>
          <w:sz w:val="24"/>
        </w:rPr>
        <w:t>The capability that separates VaxForge from both comparators, however, is not the ranking but the host dimension, and it held across all ten viruses. For every virus the ground-truth-antigen epitope set differed between host species, with pairwise host Jaccard overlap below one in every case and, for several viruses, host pairs that shared no epitopes at all (Table 5; Figure 7). NERVE 2.0 cannot run on viruses, and Vaxign-ML returns a single host-free protegenicity score (it ranked rabies glycoprotein G fourth of five with no host resolution), so this per-host repertoire is unique to VaxForge among the three. Because each virus presents a single protective antigen, the rank statistic is descriptive rather than inferential, and population-coverage data were reported as unavailable for non-human hosts rather than imputed.</w:t>
      </w:r>
    </w:p>
    <w:p>
      <w:r>
        <w:rPr>
          <w:b/>
          <w:i w:val="0"/>
          <w:sz w:val="24"/>
        </w:rPr>
        <w:t>Table 5.</w:t>
      </w:r>
      <w:r>
        <w:rPr>
          <w:b w:val="0"/>
          <w:i w:val="0"/>
          <w:sz w:val="24"/>
        </w:rPr>
        <w:t xml:space="preserve"> Host-specific epitope resolution and VaxForge–Vaxign-ML head-to-head across ten four-host viruses. Rank is the ground-truth antigen's position in each tool's candidate list; NERVE 2.0 is omitted because it cannot process viral proteomes. Jaccard is the mean (range) host-pair overlap of the ground-truth-antigen epitopes; below one means host choice changes the repertoire.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Virus (species)</w:t>
            </w:r>
          </w:p>
        </w:tc>
        <w:tc>
          <w:tcPr>
            <w:tcW w:type="dxa" w:w="1728"/>
          </w:tcPr>
          <w:p>
            <w:pPr>
              <w:spacing w:line="240" w:lineRule="auto"/>
              <w:jc w:val="left"/>
            </w:pPr>
            <w:r/>
            <w:r>
              <w:rPr>
                <w:b/>
                <w:i w:val="0"/>
                <w:sz w:val="22"/>
              </w:rPr>
              <w:t>Ground-truth antigen</w:t>
            </w:r>
          </w:p>
        </w:tc>
        <w:tc>
          <w:tcPr>
            <w:tcW w:type="dxa" w:w="1728"/>
          </w:tcPr>
          <w:p>
            <w:pPr>
              <w:spacing w:line="240" w:lineRule="auto"/>
              <w:jc w:val="left"/>
            </w:pPr>
            <w:r/>
            <w:r>
              <w:rPr>
                <w:b/>
                <w:i w:val="0"/>
                <w:sz w:val="22"/>
              </w:rPr>
              <w:t>VaxForge rank</w:t>
            </w:r>
          </w:p>
        </w:tc>
        <w:tc>
          <w:tcPr>
            <w:tcW w:type="dxa" w:w="1728"/>
          </w:tcPr>
          <w:p>
            <w:pPr>
              <w:spacing w:line="240" w:lineRule="auto"/>
              <w:jc w:val="left"/>
            </w:pPr>
            <w:r/>
            <w:r>
              <w:rPr>
                <w:b/>
                <w:i w:val="0"/>
                <w:sz w:val="22"/>
              </w:rPr>
              <w:t>Vaxign-ML rank</w:t>
            </w:r>
          </w:p>
        </w:tc>
        <w:tc>
          <w:tcPr>
            <w:tcW w:type="dxa" w:w="1728"/>
          </w:tcPr>
          <w:p>
            <w:pPr>
              <w:spacing w:line="240" w:lineRule="auto"/>
              <w:jc w:val="left"/>
            </w:pPr>
            <w:r/>
            <w:r>
              <w:rPr>
                <w:b/>
                <w:i w:val="0"/>
                <w:sz w:val="22"/>
              </w:rPr>
              <w:t>Host-pair epitope Jaccard, mean (range)</w:t>
            </w:r>
          </w:p>
        </w:tc>
      </w:tr>
      <w:tr>
        <w:tc>
          <w:tcPr>
            <w:tcW w:type="dxa" w:w="1728"/>
          </w:tcPr>
          <w:p>
            <w:pPr>
              <w:spacing w:line="240" w:lineRule="auto"/>
              <w:jc w:val="left"/>
            </w:pPr>
            <w:r/>
            <w:r>
              <w:rPr>
                <w:b w:val="0"/>
                <w:i w:val="0"/>
                <w:sz w:val="22"/>
              </w:rPr>
              <w:t>Rabies virus (Lyssavirus rabies)</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Vesicular stomatitis Indiana virus (Vesiculovirus indiana)</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Encephalomyocarditis virus (Cardiovirus A)</w:t>
            </w:r>
          </w:p>
        </w:tc>
        <w:tc>
          <w:tcPr>
            <w:tcW w:type="dxa" w:w="1728"/>
          </w:tcPr>
          <w:p>
            <w:pPr>
              <w:spacing w:line="240" w:lineRule="auto"/>
              <w:jc w:val="left"/>
            </w:pPr>
            <w:r/>
            <w:r>
              <w:rPr>
                <w:b w:val="0"/>
                <w:i w:val="0"/>
                <w:sz w:val="22"/>
              </w:rPr>
              <w:t>capsid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Valley fever virus (Phlebovirus riftense)</w:t>
            </w:r>
          </w:p>
        </w:tc>
        <w:tc>
          <w:tcPr>
            <w:tcW w:type="dxa" w:w="1728"/>
          </w:tcPr>
          <w:p>
            <w:pPr>
              <w:spacing w:line="240" w:lineRule="auto"/>
              <w:jc w:val="left"/>
            </w:pPr>
            <w:r/>
            <w:r>
              <w:rPr>
                <w:b w:val="0"/>
                <w:i w:val="0"/>
                <w:sz w:val="22"/>
              </w:rPr>
              <w:t>glycoprotein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Venezuelan equine encephalitis virus (Alphavirus VEE)</w:t>
            </w:r>
          </w:p>
        </w:tc>
        <w:tc>
          <w:tcPr>
            <w:tcW w:type="dxa" w:w="1728"/>
          </w:tcPr>
          <w:p>
            <w:pPr>
              <w:spacing w:line="240" w:lineRule="auto"/>
              <w:jc w:val="left"/>
            </w:pPr>
            <w:r/>
            <w:r>
              <w:rPr>
                <w:b w:val="0"/>
                <w:i w:val="0"/>
                <w:sz w:val="22"/>
              </w:rPr>
              <w:t>E2 glycoprotein</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virus (Alphavirus getah)</w:t>
            </w:r>
          </w:p>
        </w:tc>
        <w:tc>
          <w:tcPr>
            <w:tcW w:type="dxa" w:w="1728"/>
          </w:tcPr>
          <w:p>
            <w:pPr>
              <w:spacing w:line="240" w:lineRule="auto"/>
              <w:jc w:val="left"/>
            </w:pPr>
            <w:r/>
            <w:r>
              <w:rPr>
                <w:b w:val="0"/>
                <w:i w:val="0"/>
                <w:sz w:val="22"/>
              </w:rPr>
              <w:t>structural polyprotein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Japanese encephalitis virus (Orthoflavivirus japonicum)</w:t>
            </w:r>
          </w:p>
        </w:tc>
        <w:tc>
          <w:tcPr>
            <w:tcW w:type="dxa" w:w="1728"/>
          </w:tcPr>
          <w:p>
            <w:pPr>
              <w:spacing w:line="240" w:lineRule="auto"/>
              <w:jc w:val="left"/>
            </w:pPr>
            <w:r/>
            <w:r>
              <w:rPr>
                <w:b w:val="0"/>
                <w:i w:val="0"/>
                <w:sz w:val="22"/>
              </w:rPr>
              <w:t>envelope protein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Mammalian orthoreovirus (Orthoreovirus mammalis)</w:t>
            </w:r>
          </w:p>
        </w:tc>
        <w:tc>
          <w:tcPr>
            <w:tcW w:type="dxa" w:w="1728"/>
          </w:tcPr>
          <w:p>
            <w:pPr>
              <w:spacing w:line="240" w:lineRule="auto"/>
              <w:jc w:val="left"/>
            </w:pPr>
            <w:r/>
            <w:r>
              <w:rPr>
                <w:b w:val="0"/>
                <w:i w:val="0"/>
                <w:sz w:val="22"/>
              </w:rPr>
              <w:t>σ1 attachment protein</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virus (Orthopoxvirus vaccinia)</w:t>
            </w:r>
          </w:p>
        </w:tc>
        <w:tc>
          <w:tcPr>
            <w:tcW w:type="dxa" w:w="1728"/>
          </w:tcPr>
          <w:p>
            <w:pPr>
              <w:spacing w:line="240" w:lineRule="auto"/>
              <w:jc w:val="left"/>
            </w:pPr>
            <w:r/>
            <w:r>
              <w:rPr>
                <w:b w:val="0"/>
                <w:i w:val="0"/>
                <w:sz w:val="22"/>
              </w:rPr>
              <w:t>L1R (IMV membrane)</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virus (Orthopoxvirus cowpox)</w:t>
            </w:r>
          </w:p>
        </w:tc>
        <w:tc>
          <w:tcPr>
            <w:tcW w:type="dxa" w:w="1728"/>
          </w:tcPr>
          <w:p>
            <w:pPr>
              <w:spacing w:line="240" w:lineRule="auto"/>
              <w:jc w:val="left"/>
            </w:pPr>
            <w:r/>
            <w:r>
              <w:rPr>
                <w:b w:val="0"/>
                <w:i w:val="0"/>
                <w:sz w:val="22"/>
              </w:rPr>
              <w:t>L1R ortholog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Figure 6.</w:t>
      </w:r>
      <w:r>
        <w:rPr>
          <w:b w:val="0"/>
          <w:i w:val="0"/>
          <w:sz w:val="24"/>
        </w:rPr>
        <w:t xml:space="preserve"> Recovery of the protective or patented antigen across ten viruses, VaxForge versus Vaxign-ML. Each pair of bars is one virus; bar length is the ground-truth antigen's rank expressed as a percentile of that tool's candidate list (shorter is better), with the absolute rank labelled. The dotted line marks the top quartile. NERVE 2.0 is absent because it cannot process viral proteomes. Neither tool dominates: VaxForge leads on four viruses, Vaxign-ML on four, and the two tie on two.</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Figure 7.</w:t>
      </w:r>
      <w:r>
        <w:rPr>
          <w:b w:val="0"/>
          <w:i w:val="0"/>
          <w:sz w:val="24"/>
        </w:rPr>
        <w:t xml:space="preserve"> Host selection reshapes the predicted epitope repertoire in every virus. Each row is one virus; the bar spans the minimum-to-maximum pairwise host Jaccard overlap of the ground-truth-antigen epitopes and the dot is the mean. A value of one would mean two hosts share an identical epitope set. Every virus falls below one, and several reach zero for at least one host pair, so the epitopes predicted for one host do not transfer to another. This host dimension is unavailable in both comparators.</w:t>
      </w:r>
    </w:p>
    <w:p>
      <w:pPr>
        <w:jc w:val="center"/>
      </w:pPr>
      <w:r>
        <w:drawing>
          <wp:inline xmlns:a="http://schemas.openxmlformats.org/drawingml/2006/main" xmlns:pic="http://schemas.openxmlformats.org/drawingml/2006/picture">
            <wp:extent cx="5669280" cy="3350029"/>
            <wp:docPr id="7" name="Picture 7"/>
            <wp:cNvGraphicFramePr>
              <a:graphicFrameLocks noChangeAspect="1"/>
            </wp:cNvGraphicFramePr>
            <a:graphic>
              <a:graphicData uri="http://schemas.openxmlformats.org/drawingml/2006/picture">
                <pic:pic>
                  <pic:nvPicPr>
                    <pic:cNvPr id="0" name="fig5_multihost_jaccard.png"/>
                    <pic:cNvPicPr/>
                  </pic:nvPicPr>
                  <pic:blipFill>
                    <a:blip r:embed="rId15"/>
                    <a:stretch>
                      <a:fillRect/>
                    </a:stretch>
                  </pic:blipFill>
                  <pic:spPr>
                    <a:xfrm>
                      <a:off x="0" y="0"/>
                      <a:ext cx="5669280" cy="3350029"/>
                    </a:xfrm>
                    <a:prstGeom prst="rect"/>
                  </pic:spPr>
                </pic:pic>
              </a:graphicData>
            </a:graphic>
          </wp:inline>
        </w:drawing>
      </w:r>
    </w:p>
    <w:p>
      <w:r>
        <w:rPr>
          <w:b/>
          <w:i w:val="0"/>
          <w:sz w:val="24"/>
        </w:rPr>
        <w:t>Figure 5.</w:t>
      </w:r>
      <w:r>
        <w:rPr>
          <w:b w:val="0"/>
          <w:i w:val="0"/>
          <w:sz w:val="24"/>
        </w:rPr>
        <w:t xml:space="preserve"> Host selection reshapes the rabies glycoprotein G epitope repertoire, shown pairwise. Each bar is one pair of host species (for example human–pig), and its value is the Jaccard overlap between the glycoprotein G epitopes predicted for those two hosts: 1 would mean the two hosts share an identical epitope set and 0 means they share none. Every pair falls below one, so the epitopes predicted for one host do not fully transfer to another and the choice of host changes the predicted repertoire.</w:t>
      </w:r>
    </w:p>
    <w:p>
      <w:pPr>
        <w:spacing w:before="200"/>
      </w:pPr>
      <w:r>
        <w:rPr>
          <w:b/>
          <w:i w:val="0"/>
          <w:sz w:val="26"/>
        </w:rPr>
        <w:t>Discussion</w:t>
      </w:r>
    </w:p>
    <w:p>
      <w:r>
        <w:rPr>
          <w:b w:val="0"/>
          <w:i w:val="0"/>
          <w:sz w:val="24"/>
        </w:rPr>
        <w:t xml:space="preserve">Benchmarks of reverse vaccinology tools have usually reported enrichment or classifier accuracy on curated positive and negative sets (Goodswen et al., 2023). Our comparison adds a measure that is more decisive for a user: how many independently validated protective antigens each tool actually returns. On the licensed 4CMenB antigens (Pizza et al., 2000; Giuliani et al., 2006), VaxForge and Vaxign-ML recovered all four while NERVE 2.0 recovered one, and across nine further bacteria at full proteome scale VaxForge reached 33 of 44 against 43 of 44 for Vaxign-ML and 13 of 44 for NERVE 2.0. The high recall of the independent machine-learning classifier is in line with the performance Ong et al. (2020) reported for Vaxign-ML, which strengthens these recall estimates rather than leaving them tool-specific. VaxForge trailed Vaxign-ML on two species, </w:t>
      </w:r>
      <w:r>
        <w:rPr>
          <w:b w:val="0"/>
          <w:i/>
          <w:sz w:val="24"/>
        </w:rPr>
        <w:t>C. burnetii</w:t>
      </w:r>
      <w:r>
        <w:rPr>
          <w:b w:val="0"/>
          <w:i w:val="0"/>
          <w:sz w:val="24"/>
        </w:rPr>
        <w:t xml:space="preserve"> and </w:t>
      </w:r>
      <w:r>
        <w:rPr>
          <w:b w:val="0"/>
          <w:i/>
          <w:sz w:val="24"/>
        </w:rPr>
        <w:t>S. suis</w:t>
      </w:r>
      <w:r>
        <w:rPr>
          <w:b w:val="0"/>
          <w:i w:val="0"/>
          <w:sz w:val="24"/>
        </w:rPr>
        <w:t>, whose protective antigens are cytoplasmic moonlighting proteins that its localisation filter removes; this marks the practical boundary of a localisation-gated funnel and the point at which a user chasing a non-classical surface antigen would relax that gate. NERVE 2.0's shortfall traces to its hard selection cascade (Conte et al., 2024): antigens that its own score rated highly were removed by fixed localisation and adhesin cut-offs, which raised fold enrichment while lowering recall.</w:t>
      </w:r>
    </w:p>
    <w:p>
      <w:r>
        <w:rPr>
          <w:b w:val="0"/>
          <w:i w:val="0"/>
          <w:sz w:val="24"/>
        </w:rPr>
        <w:t>The clearest case is the Neisserial Heparin Binding Antigen, a licensed 4CMenB component that is not a classical virulence factor and is absent from curated virulence databases (Giuliani et al., 2006). Any pipeline that gates on a virulence-database hit loses it, whereas VaxForge's soft, score-weighted use of that evidence keeps it. This is consistent with a recurring caution in the reverse vaccinology methodology literature that rigid filters trade sensitivity for apparent specificity (Goodswen et al., 2023), and it argues for reporting recall over known antigens, not fold enrichment alone, when tools are compared.</w:t>
      </w:r>
    </w:p>
    <w:p>
      <w:r>
        <w:rPr>
          <w:b w:val="0"/>
          <w:i w:val="0"/>
          <w:sz w:val="24"/>
        </w:rPr>
        <w:t>The second distinguishing feature, host-specific epitope prediction, addresses a gap that bacterial-oriented tools leave open. NetMHCpan and NetMHCIIpan already support many non-human alleles (Reynisson et al., 2020), yet reverse vaccinology pipelines typically apply them against a single human reference. Because all ten viruses infect the four mammalian hosts examined (Cox et al., 1977; Fooks et al., 2017), we could compute an honest per-host repertoire for each, and the ground-truth-antigen epitope sets differed between species in every case (mean pairwise Jaccard 0.33 to 0.62, with some host pairs sharing no epitopes at all). For the veterinary and zoonotic targets that dominate the practical vaccine burden (Fooks et al., 2017; Hampson et al., 2015), a human-only epitope layer would misstate presentation, so this capability is a concrete advantage rather than a cosmetic one. On antigen ranking alone, neither VaxForge nor Vaxign-ML dominated across the ten viruses, which is the honest result for two general rankers applied to viral proteomes; the value VaxForge adds is the host dimension and the downstream construct rather than a uniformly higher rank. VaxForge also continues past ranking into construct assembly and an in silico immunisation readout, so its output is a candidate immunogen rather than a list.</w:t>
      </w:r>
    </w:p>
    <w:p>
      <w:r>
        <w:rPr>
          <w:b w:val="0"/>
          <w:i w:val="0"/>
          <w:sz w:val="24"/>
        </w:rPr>
        <w:t xml:space="preserve">Several limitations bound these claims. ActA of </w:t>
      </w:r>
      <w:r>
        <w:rPr>
          <w:b w:val="0"/>
          <w:i/>
          <w:sz w:val="24"/>
        </w:rPr>
        <w:t>L. monocytogenes</w:t>
      </w:r>
      <w:r>
        <w:rPr>
          <w:b w:val="0"/>
          <w:i w:val="0"/>
          <w:sz w:val="24"/>
        </w:rPr>
        <w:t xml:space="preserve"> was missed by VaxForge and also ranked last by the independent tool, so it is a genuinely difficult target rather than a pipeline fault; its recovery would need conformational or context-specific signals that a linear-epitope pipeline does not model, and most B-cell epitopes are in any case discontinuous (Michalik et al., 2016). The default toxicity filter can discard peptides from toxin antigens such as listeriolysin O, a conservative choice we did not tune for the benchmark. We report area-under-curve only as a secondary measure with an explicit small-sample caveat, because four to five positives per pathogen cannot resolve AUC differences, and we make no claim of superior discrimination on that basis. Finally, whole-proteome VaxForge runs are impractical on current CPU-only hardware, so the meningococcal comparison used matched subsamples that are fair across tools while full proteomes were run only for the faster comparators.</w:t>
      </w:r>
    </w:p>
    <w:p>
      <w:r>
        <w:rPr>
          <w:b w:val="0"/>
          <w:i w:val="0"/>
          <w:sz w:val="24"/>
        </w:rPr>
        <w:t>Two directions follow. A GPU backend would allow whole-proteome VaxForge runs and complete the head-to-head at full scale for every pathogen, and the cross-species divergence of the viral glycoprotein epitopes is a concrete hypothesis that binding and immunisation experiments could test. Both extensions fit the existing framework without redesign.</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