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On the meningococcal exemplar VaxForge recovered all four licensed 4CMenB antigens, matching Vaxign-ML, where NERVE 2.0 recovered only one. Across nine further zoonotic bacteria run at full proteome scale, spanning genome sizes from 2.0 to 5.5 Mb and forty-four protective antigens, VaxForge recovered 33, below the sequence-only classifier Vaxign-ML (43 of 44) but well ahead of NERVE 2.0 (13 of 44), while placing protective antigens at competitive or higher ranks (for example iron-regulated surface determinant B at rank 4 of 2,889 proteins). VaxForge matched Vaxign-ML on species whose protective antigens are secreted or surface-exposed and fell behind only on two species whose antigens are cytoplasmic proteins that moonlight on the cell surface, which its localisation filter removes by design, an interpretable trade-off rather than an artefact. NERVE 2.0 reached higher fold enrichment but only by discarding surface antigens under its hard selection cascade, returning none for four of the nine species, which shows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ten bacteria and ten viruses, and we report a pipeline validation that surfaced and fixed three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nine bacteria and genome scale, with an honest limit on non-classical antigens.</w:t>
      </w:r>
      <w:r>
        <w:rPr>
          <w:b w:val="0"/>
          <w:i w:val="0"/>
          <w:sz w:val="24"/>
        </w:rPr>
        <w:t xml:space="preserve"> To move well beyond a single exemplar we ran nine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forty-four protective antigens of these nine species VaxForge recovered 33 (Figure 4), below the sequence-only classifier Vaxign-ML, which recovered 43, and well ahead of NERVE 2.0, which recovered 13. VaxForge reached 4 of 5 or 5 of 5 on seven of the nine species, including </w:t>
      </w:r>
      <w:r>
        <w:rPr>
          <w:b w:val="0"/>
          <w:i/>
          <w:sz w:val="24"/>
        </w:rPr>
        <w:t>Staphylococcus aureus</w:t>
      </w:r>
      <w:r>
        <w:rPr>
          <w:b w:val="0"/>
          <w:i w:val="0"/>
          <w:sz w:val="24"/>
        </w:rPr>
        <w:t xml:space="preserve"> (iron-regulated surface determinant B at rank 4 of 2,889), </w:t>
      </w:r>
      <w:r>
        <w:rPr>
          <w:b w:val="0"/>
          <w:i/>
          <w:sz w:val="24"/>
        </w:rPr>
        <w:t>Salmonella enterica</w:t>
      </w:r>
      <w:r>
        <w:rPr>
          <w:b w:val="0"/>
          <w:i w:val="0"/>
          <w:sz w:val="24"/>
        </w:rPr>
        <w:t xml:space="preserve"> serovar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and </w:t>
      </w:r>
      <w:r>
        <w:rPr>
          <w:b w:val="0"/>
          <w:i/>
          <w:sz w:val="24"/>
        </w:rPr>
        <w:t>Bacillus anthracis</w:t>
      </w:r>
      <w:r>
        <w:rPr>
          <w:b w:val="0"/>
          <w:i w:val="0"/>
          <w:sz w:val="24"/>
        </w:rPr>
        <w:t xml:space="preserve">, for which the anthrax protective antigen was among those recovered. NERVE 2.0 again discarded surface antigens under its hard selection cascade, returning none of the protective antigens for four of the nine species, even where, as on </w:t>
      </w:r>
      <w:r>
        <w:rPr>
          <w:b w:val="0"/>
          <w:i/>
          <w:sz w:val="24"/>
        </w:rPr>
        <w:t>B. suis</w:t>
      </w:r>
      <w:r>
        <w:rPr>
          <w:b w:val="0"/>
          <w:i w:val="0"/>
          <w:sz w:val="24"/>
        </w:rPr>
        <w:t xml:space="preserve"> and </w:t>
      </w:r>
      <w:r>
        <w:rPr>
          <w:b w:val="0"/>
          <w:i/>
          <w:sz w:val="24"/>
        </w:rPr>
        <w:t>B. anthracis</w:t>
      </w:r>
      <w:r>
        <w:rPr>
          <w:b w:val="0"/>
          <w:i w:val="0"/>
          <w:sz w:val="24"/>
        </w:rPr>
        <w:t>, it reached the highest fold enrichment of any tool.</w:t>
      </w:r>
    </w:p>
    <w:p>
      <w:r>
        <w:rPr>
          <w:b w:val="0"/>
          <w:i w:val="0"/>
          <w:sz w:val="24"/>
        </w:rPr>
        <w:t xml:space="preserve">The two species where VaxForge fell behind, </w:t>
      </w:r>
      <w:r>
        <w:rPr>
          <w:b w:val="0"/>
          <w:i/>
          <w:sz w:val="24"/>
        </w:rPr>
        <w:t>Coxiella burnetii</w:t>
      </w:r>
      <w:r>
        <w:rPr>
          <w:b w:val="0"/>
          <w:i w:val="0"/>
          <w:sz w:val="24"/>
        </w:rPr>
        <w:t xml:space="preserve"> (2 of 4) and </w:t>
      </w:r>
      <w:r>
        <w:rPr>
          <w:b w:val="0"/>
          <w:i/>
          <w:sz w:val="24"/>
        </w:rPr>
        <w:t>Streptococcus suis</w:t>
      </w:r>
      <w:r>
        <w:rPr>
          <w:b w:val="0"/>
          <w:i w:val="0"/>
          <w:sz w:val="24"/>
        </w:rPr>
        <w:t xml:space="preserve"> (1 of 5), expose a real and interpretable limit rather than a defect. The antigens it missed there, glyceraldehyde-3-phosphate dehydrogenase, enolase, 6-phosphogluconate dehydrogenase and the DnaJ and GroEL chaperones, are classically cytoplasmic proteins that moonlight on the cell surface. VaxForge removes them at its localisation hard filter by design, whereas Vaxign-ML, which scores sequence directly with no localisation gate, retains them. The behaviour is therefore a deliberate trade-off: the localisation filter suppresses cytoplasmic false positives at whole-proteome scale but also excludes non-classical surface antigens, and a user targeting a moonlighting antigen would relax that filter. On the species where both tools reached full recall VaxForge placed the protective antigens at competitive or higher ranks, and its single miss on </w:t>
      </w:r>
      <w:r>
        <w:rPr>
          <w:b w:val="0"/>
          <w:i/>
          <w:sz w:val="24"/>
        </w:rPr>
        <w:t>L. monocytogenes</w:t>
      </w:r>
      <w:r>
        <w:rPr>
          <w:b w:val="0"/>
          <w:i w:val="0"/>
          <w:sz w:val="24"/>
        </w:rPr>
        <w:t>, ActA, also ranked at the bottom of the Vaxign-ML list, so it reflects a hard target rather than a pipeline fault. During these full-proteome runs we identified and corrected three scale-dependent engineering defects that had artefactually lowered VaxForge recall in first-pass runs; the localisation and class I steps each collapsed under a single oversized batch, and at the largest scale the parallel class I workers could deadlock on a shared scratch directory, all three now repartitioned into bounded, isolated sub-batches (`MANUSCRIPT_METHODS.md`, section B). Control experiments confirmed that the toxicity and allergenicity filters were not responsible.</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species whose protective antigens are secreted or surface-exposed and falls behind only on </w:t>
      </w:r>
      <w:r>
        <w:rPr>
          <w:b w:val="0"/>
          <w:i/>
          <w:sz w:val="24"/>
        </w:rPr>
        <w:t>C. burnetii</w:t>
      </w:r>
      <w:r>
        <w:rPr>
          <w:b w:val="0"/>
          <w:i w:val="0"/>
          <w:sz w:val="24"/>
        </w:rPr>
        <w:t xml:space="preserve"> and </w:t>
      </w:r>
      <w:r>
        <w:rPr>
          <w:b w:val="0"/>
          <w:i/>
          <w:sz w:val="24"/>
        </w:rPr>
        <w:t>S. suis</w:t>
      </w:r>
      <w:r>
        <w:rPr>
          <w:b w:val="0"/>
          <w:i w:val="0"/>
          <w:sz w:val="24"/>
        </w:rPr>
        <w:t>, whose missed antigens are cytoplasmic moonlighting proteins that the localisation filter removes by design; NERVE 2.0 recovers none of the antigens for four species.</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 xml:space="preserve">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nine further bacteria at full proteome scale VaxForge reached 33 of 44 against 43 of 44 for Vaxign-ML and 13 of 44 for NERVE 2.0. The high recall of the independent machine-learning classifier is in line with the performance Ong et al. (2020) reported for Vaxign-ML, which strengthens these recall estimates rather than leaving them tool-specific. VaxForge trailed Vaxign-ML on two species, </w:t>
      </w:r>
      <w:r>
        <w:rPr>
          <w:b w:val="0"/>
          <w:i/>
          <w:sz w:val="24"/>
        </w:rPr>
        <w:t>C. burnetii</w:t>
      </w:r>
      <w:r>
        <w:rPr>
          <w:b w:val="0"/>
          <w:i w:val="0"/>
          <w:sz w:val="24"/>
        </w:rPr>
        <w:t xml:space="preserve"> and </w:t>
      </w:r>
      <w:r>
        <w:rPr>
          <w:b w:val="0"/>
          <w:i/>
          <w:sz w:val="24"/>
        </w:rPr>
        <w:t>S. suis</w:t>
      </w:r>
      <w:r>
        <w:rPr>
          <w:b w:val="0"/>
          <w:i w:val="0"/>
          <w:sz w:val="24"/>
        </w:rPr>
        <w:t>, whose protective antigens are cytoplasmic moonlighting proteins that its localisation filter removes; this marks the practical boundary of a localisation-gated funnel and the point at which a user chasing a non-classical surface antigen would relax that gate.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