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Tablo S1.</w:t>
      </w:r>
      <w:r>
        <w:rPr>
          <w:b w:val="0"/>
          <w:i w:val="0"/>
          <w:sz w:val="24"/>
        </w:rPr>
        <w:t xml:space="preserve"> Ground-truth koruyucu antijenler, türe göre; aksesyon, ruhsat durumu ve koruyucu/aday statüsünün doğrulanmış kanıtı (tam kanıt ve DOI'ler `PROTECTIVE_ANTIGENS.md`'de). Durum: </w:t>
      </w:r>
      <w:r>
        <w:rPr>
          <w:b w:val="0"/>
          <w:i/>
          <w:sz w:val="24"/>
        </w:rPr>
        <w:t>Ruhsatlı</w:t>
      </w:r>
      <w:r>
        <w:rPr>
          <w:b w:val="0"/>
          <w:i w:val="0"/>
          <w:sz w:val="24"/>
        </w:rPr>
        <w:t xml:space="preserve"> = onaylı insan aşısı bileşeni; </w:t>
      </w:r>
      <w:r>
        <w:rPr>
          <w:b w:val="0"/>
          <w:i/>
          <w:sz w:val="24"/>
        </w:rPr>
        <w:t>Vet-ruhsatlı suş</w:t>
      </w:r>
      <w:r>
        <w:rPr>
          <w:b w:val="0"/>
          <w:i w:val="0"/>
          <w:sz w:val="24"/>
        </w:rPr>
        <w:t xml:space="preserve"> = cinsin onaylı canlı/tam-hücre veteriner aşısı var ama buradaki subünit adaydır; </w:t>
      </w:r>
      <w:r>
        <w:rPr>
          <w:b w:val="0"/>
          <w:i/>
          <w:sz w:val="24"/>
        </w:rPr>
        <w:t>Klinik/Preklinik aday</w:t>
      </w:r>
      <w:r>
        <w:rPr>
          <w:b w:val="0"/>
          <w:i w:val="0"/>
          <w:sz w:val="24"/>
        </w:rPr>
        <w:t xml:space="preserve"> = deneysel koruyucu ya da immunodominant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 koruma)</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