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four host species, and a characterised multi-epitope construct, and that ends in an in silico immunisation step. We benchmarked VaxForge against two established tools, NERVE 2.0 and Vaxign-ML, under default parameters and identical inputs. Across four bacterial proteomes with fifteen licensed or preclinical protective antigens as ground truth, VaxForge recovered 14 of 15, comparable to Vaxign-ML (15 of 15) and well ahead of NERVE 2.0 (9 of 15), while placing protective antigens at higher ranks (for example iron-regulated surface determinant B at rank 4 of 2,889 proteins). The single antigen VaxForge missed, ActA, also ranked lowest in the independent comparator and is a genuine hard case rather than an artefact. NERVE 2.0 reached higher fold enrichment but only by discarding three of the four licensed meningococcal antigens at every input scale, showing that fold enrichment alone is misleading. On a rabies model and two additional viruses, VaxForge resolved host-specific glycoprotein epitope repertoires that differed substantially between species (pairwise Jaccard overlap below one, and zero in one case), a dimension the comparators cannot address.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and porcine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four bacteria and three viruses, and we report a pipeline validation that surfaced and fixed two scale-dependent defects during the work.</w:t>
      </w:r>
    </w:p>
    <w:p>
      <w:pPr>
        <w:spacing w:before="200"/>
      </w:pPr>
      <w:r>
        <w:rPr>
          <w:b/>
          <w:i w:val="0"/>
          <w:sz w:val="26"/>
        </w:rPr>
        <w:t>Materials and 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three further species at full proteome scale: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whose evidence and DOIs are listed in `PROTECTIVE_ANTIGENS.md`. The viral arm used rabies virus (species </w:t>
      </w:r>
      <w:r>
        <w:rPr>
          <w:b w:val="0"/>
          <w:i/>
          <w:sz w:val="24"/>
        </w:rPr>
        <w:t>Lyssavirus rabies</w:t>
      </w:r>
      <w:r>
        <w:rPr>
          <w:b w:val="0"/>
          <w:i w:val="0"/>
          <w:sz w:val="24"/>
        </w:rPr>
        <w:t>; NC_001542, glycoprotein G at NP_056796), vesicular stomatitis Indiana virus (</w:t>
      </w:r>
      <w:r>
        <w:rPr>
          <w:b w:val="0"/>
          <w:i/>
          <w:sz w:val="24"/>
        </w:rPr>
        <w:t>Vesiculovirus indiana</w:t>
      </w:r>
      <w:r>
        <w:rPr>
          <w:b w:val="0"/>
          <w:i w:val="0"/>
          <w:sz w:val="24"/>
        </w:rPr>
        <w:t>) and encephalomyocarditis virus (</w:t>
      </w:r>
      <w:r>
        <w:rPr>
          <w:b w:val="0"/>
          <w:i/>
          <w:sz w:val="24"/>
        </w:rPr>
        <w:t>Cardiovirus A</w:t>
      </w:r>
      <w:r>
        <w:rPr>
          <w:b w:val="0"/>
          <w:i w:val="0"/>
          <w:sz w:val="24"/>
        </w:rPr>
        <w:t>).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w:t>
      </w:r>
    </w:p>
    <w:p>
      <w:r>
        <w:rPr>
          <w:b/>
          <w:i w:val="0"/>
          <w:sz w:val="24"/>
        </w:rPr>
        <w:t>Table 1.</w:t>
      </w:r>
      <w:r>
        <w:rPr>
          <w:b w:val="0"/>
          <w:i w:val="0"/>
          <w:sz w:val="24"/>
        </w:rPr>
        <w:t xml:space="preserve"> Inputs, outputs and capabilities of the three compared tools (✓ present, ✗ absent).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w:t>
            </w:r>
          </w:p>
        </w:tc>
        <w:tc>
          <w:tcPr>
            <w:tcW w:type="dxa" w:w="2160"/>
          </w:tcPr>
          <w:p>
            <w:pPr>
              <w:spacing w:line="240" w:lineRule="auto"/>
              <w:jc w:val="left"/>
            </w:pPr>
            <w:r/>
            <w:r>
              <w:rPr>
                <w:b w:val="0"/>
                <w:i w:val="0"/>
                <w:sz w:val="22"/>
              </w:rPr>
              <w:t>bacterial proteome + Gram</w:t>
            </w:r>
          </w:p>
        </w:tc>
        <w:tc>
          <w:tcPr>
            <w:tcW w:type="dxa" w:w="2160"/>
          </w:tcPr>
          <w:p>
            <w:pPr>
              <w:spacing w:line="240" w:lineRule="auto"/>
              <w:jc w:val="left"/>
            </w:pPr>
            <w:r/>
            <w:r>
              <w:rPr>
                <w:b w:val="0"/>
                <w:i w:val="0"/>
                <w:sz w:val="22"/>
              </w:rPr>
              <w:t>protein proteome</w:t>
            </w:r>
          </w:p>
        </w:tc>
      </w:tr>
      <w:tr>
        <w:tc>
          <w:tcPr>
            <w:tcW w:type="dxa" w:w="2160"/>
          </w:tcPr>
          <w:p>
            <w:pPr>
              <w:spacing w:line="240" w:lineRule="auto"/>
              <w:jc w:val="left"/>
            </w:pPr>
            <w:r/>
            <w:r>
              <w:rPr>
                <w:b w:val="0"/>
                <w:i w:val="0"/>
                <w:sz w:val="22"/>
              </w:rPr>
              <w:t>Applicable to viruses</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limited</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Keeps virulence-database-negative antigens</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epitopes</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and T-cell epitope output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epitopes and construct</w:t>
            </w:r>
          </w:p>
        </w:tc>
        <w:tc>
          <w:tcPr>
            <w:tcW w:type="dxa" w:w="2160"/>
          </w:tcPr>
          <w:p>
            <w:pPr>
              <w:spacing w:line="240" w:lineRule="auto"/>
              <w:jc w:val="left"/>
            </w:pPr>
            <w:r/>
            <w:r>
              <w:rPr>
                <w:b w:val="0"/>
                <w:i w:val="0"/>
                <w:sz w:val="22"/>
              </w:rPr>
              <w:t>shortlist of candidate proteins</w:t>
            </w:r>
          </w:p>
        </w:tc>
        <w:tc>
          <w:tcPr>
            <w:tcW w:type="dxa" w:w="2160"/>
          </w:tcPr>
          <w:p>
            <w:pPr>
              <w:spacing w:line="240" w:lineRule="auto"/>
              <w:jc w:val="left"/>
            </w:pPr>
            <w:r/>
            <w:r>
              <w:rPr>
                <w:b w:val="0"/>
                <w:i w:val="0"/>
                <w:sz w:val="22"/>
              </w:rPr>
              <w:t>protegenicity score per protein</w:t>
            </w:r>
          </w:p>
        </w:tc>
      </w:tr>
    </w:tbl>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two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Control experiments confirmed that the toxicity and allergenicity filters were not responsible, and all three species were re-run after the fixes.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then enter the immunological layer, which is the core of the pipeline. NetMHCpan and NetMHCIIpan (Reynisson et al., 2020) score class I and class II binding for the alleles of the chosen host, so that a T-cell epitope is only kept if it is presented in the intended species. Three further predictors refine the T-cell readout: class I immunogenicity (Calis et al., 2013), proteasomal cleavage together with TAP transport for antigen processing (Larsen et al., 2005), and, for antibody targets, linear B-cell epitopes from BepiPred-3.0 (Clifford et al., 2022). For the selected epitopes VaxForge estimates population coverage across human HLA alleles, and it reports that value as unavailable, rather than imputed, for hosts where allele-frequency data do not exist. The retained epitopes are assembled into a multi-epitope construct with defined linkers (AAY between cytotoxic epitopes, GPGPG between helper epitopes and KK for B-cell epitopes) and an adjuvant, and the construct passes to an in silico immunisation step that simulates the antibody and isotype response over time. Every method is reported with its citation, so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2;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Figure 1.</w:t>
      </w:r>
      <w:r>
        <w:rPr>
          <w:b w:val="0"/>
          <w:i w:val="0"/>
          <w:sz w:val="24"/>
        </w:rPr>
        <w:t xml:space="preserve"> VaxForge and Vaxign-ML recover all four licensed meningococcal antigens, whereas NERVE 2.0 recovers only PorA. Each point is one tool's result for one antigen, and colour identifies the tool (legend, top right). The number beside each point is that antigen's rank in the tool's candidate list, meaning its position from the top (1 is first, and a lower number is better). A cross in the "not recovered" column marks an antigen the tool did not return at all. Ranks and recall were computed under default parameters on identical input.</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Figure 3.</w:t>
      </w:r>
      <w:r>
        <w:rPr>
          <w:b w:val="0"/>
          <w:i w:val="0"/>
          <w:sz w:val="24"/>
        </w:rPr>
        <w:t xml:space="preserve"> High fold enrichment does not imply high recall. Each bar is the fold enrichment of the known protective antigens in one tool's candidate list, that is, how many times more concentrated the known antigens are among the candidates than expected by chance. The label above each bar is that run's recall, the count of known antigens the tool actually recovered out of the total (4/4 means all four were recovered, 1/4 only one). The dashed line marks the published NERVE 2.0 fold value of 16.6. NERVE 2.0 reaches the highest fold with the lowest recall.</w:t>
      </w:r>
    </w:p>
    <w:p>
      <w:r>
        <w:rPr>
          <w:b/>
          <w:i w:val="0"/>
          <w:sz w:val="24"/>
        </w:rPr>
        <w:t>The pattern generalises across genome scale, and a validation step made the results trustworthy.</w:t>
      </w:r>
      <w:r>
        <w:rPr>
          <w:b w:val="0"/>
          <w:i w:val="0"/>
          <w:sz w:val="24"/>
        </w:rPr>
        <w:t xml:space="preserve"> To move beyond a single exemplar we ran three additional zoonotic bacteria at full proteome scale, chosen for increasing genome size and Gram balance (Table 3). VaxForge recovered 5 of 5 for </w:t>
      </w:r>
      <w:r>
        <w:rPr>
          <w:b w:val="0"/>
          <w:i/>
          <w:sz w:val="24"/>
        </w:rPr>
        <w:t>Staphylococcus aureus</w:t>
      </w:r>
      <w:r>
        <w:rPr>
          <w:b w:val="0"/>
          <w:i w:val="0"/>
          <w:sz w:val="24"/>
        </w:rPr>
        <w:t xml:space="preserve"> (iron-regulated surface determinant B at rank 4 of 2,889), 4 of 5 for </w:t>
      </w:r>
      <w:r>
        <w:rPr>
          <w:b w:val="0"/>
          <w:i/>
          <w:sz w:val="24"/>
        </w:rPr>
        <w:t>Listeria monocytogenes</w:t>
      </w:r>
      <w:r>
        <w:rPr>
          <w:b w:val="0"/>
          <w:i w:val="0"/>
          <w:sz w:val="24"/>
        </w:rPr>
        <w:t xml:space="preserve"> and 5 of 5 for </w:t>
      </w:r>
      <w:r>
        <w:rPr>
          <w:b w:val="0"/>
          <w:i/>
          <w:sz w:val="24"/>
        </w:rPr>
        <w:t>Salmonella enterica</w:t>
      </w:r>
      <w:r>
        <w:rPr>
          <w:b w:val="0"/>
          <w:i w:val="0"/>
          <w:sz w:val="24"/>
        </w:rPr>
        <w:t xml:space="preserve"> serovar Typhimurium, for a total of 14 of 15 (Figure 4). Vaxign-ML recovered 15 of 15 and NERVE 2.0 recovered 9 of 15, missing the same kinds of surface antigens it lost on meningococcus. VaxForge placed protective antigens at higher ranks than Vaxign-ML on the two species where both reached full recall. The single VaxForge miss, ActA of </w:t>
      </w:r>
      <w:r>
        <w:rPr>
          <w:b w:val="0"/>
          <w:i/>
          <w:sz w:val="24"/>
        </w:rPr>
        <w:t>L. monocytogenes</w:t>
      </w:r>
      <w:r>
        <w:rPr>
          <w:b w:val="0"/>
          <w:i w:val="0"/>
          <w:sz w:val="24"/>
        </w:rPr>
        <w:t>, is a genuine hard antigen: it also ranked at the bottom of the Vaxign-ML list, so it reflects the difficulty of the target rather than a pipeline fault. During these runs we identified and corrected two scale-dependent engineering defects that had artefactually lowered VaxForge recall in first-pass runs (initial values of 3 of 5, 3 of 5 and 0 of 5); the localisation and MHC steps were each collapsing under a single oversized batch at full-proteome scale, and both were repartitioned into bounded, parallel sub-batches (`MANUSCRIPT_METHODS.md`, section B). Control experiments confirmed that the toxicity and allergenicity filters were not responsible.</w:t>
      </w:r>
    </w:p>
    <w:p>
      <w:r>
        <w:rPr>
          <w:b/>
          <w:i w:val="0"/>
          <w:sz w:val="24"/>
        </w:rPr>
        <w:t>Table 3.</w:t>
      </w:r>
      <w:r>
        <w:rPr>
          <w:b w:val="0"/>
          <w:i w:val="0"/>
          <w:sz w:val="24"/>
        </w:rPr>
        <w:t xml:space="preserve"> Three-bacterium head-to-head at full proteome scale, with five protective antigens each.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3180328"/>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3180328"/>
                    </a:xfrm>
                    <a:prstGeom prst="rect"/>
                  </pic:spPr>
                </pic:pic>
              </a:graphicData>
            </a:graphic>
          </wp:inline>
        </w:drawing>
      </w:r>
    </w:p>
    <w:p>
      <w:r>
        <w:rPr>
          <w:b/>
          <w:i w:val="0"/>
          <w:sz w:val="24"/>
        </w:rPr>
        <w:t>Figure 4.</w:t>
      </w:r>
      <w:r>
        <w:rPr>
          <w:b w:val="0"/>
          <w:i w:val="0"/>
          <w:sz w:val="24"/>
        </w:rPr>
        <w:t xml:space="preserve"> The recall pattern generalises across three genome scales. Recall over five protective antigens for each tool on </w:t>
      </w:r>
      <w:r>
        <w:rPr>
          <w:b w:val="0"/>
          <w:i/>
          <w:sz w:val="24"/>
        </w:rPr>
        <w:t>S. aureus</w:t>
      </w:r>
      <w:r>
        <w:rPr>
          <w:b w:val="0"/>
          <w:i w:val="0"/>
          <w:sz w:val="24"/>
        </w:rPr>
        <w:t xml:space="preserve">, </w:t>
      </w:r>
      <w:r>
        <w:rPr>
          <w:b w:val="0"/>
          <w:i/>
          <w:sz w:val="24"/>
        </w:rPr>
        <w:t>L. monocytogenes</w:t>
      </w:r>
      <w:r>
        <w:rPr>
          <w:b w:val="0"/>
          <w:i w:val="0"/>
          <w:sz w:val="24"/>
        </w:rPr>
        <w:t xml:space="preserve"> and </w:t>
      </w:r>
      <w:r>
        <w:rPr>
          <w:b w:val="0"/>
          <w:i/>
          <w:sz w:val="24"/>
        </w:rPr>
        <w:t>S.</w:t>
      </w:r>
      <w:r>
        <w:rPr>
          <w:b w:val="0"/>
          <w:i w:val="0"/>
          <w:sz w:val="24"/>
        </w:rPr>
        <w:t xml:space="preserve"> Typhimurium at full proteome scale, with AUC annotation; VaxForge totals 14 of 15, Vaxign-ML 15 of 15 and NERVE 2.0 9 of 15.</w:t>
      </w:r>
    </w:p>
    <w:p>
      <w:r>
        <w:rPr>
          <w:b/>
          <w:i w:val="0"/>
          <w:sz w:val="24"/>
        </w:rPr>
        <w:t>Host selection changes the predicted epitope repertoire, a dimension the comparators cannot address.</w:t>
      </w:r>
      <w:r>
        <w:rPr>
          <w:b w:val="0"/>
          <w:i w:val="0"/>
          <w:sz w:val="24"/>
        </w:rPr>
        <w:t xml:space="preserve"> VaxForge draws binding predictions from curated allele panels for four hosts, human, mouse, bovine and pig (Table 4), taken from IMGT/HLA for human and IPD-MHC for the others. For human, mouse and bovine, both class I and class II run on real NetMHCpan and NetMHCIIpan models, including the BoLA-DRB3 class II panel for cattle; pig class I is real while its class II rests on a single validated allele. The panels are representative subsets rather than the complete databases, and invalid allele names are dropped at runtime, so the reported epitopes are conservative.</w:t>
      </w:r>
    </w:p>
    <w:p>
      <w:r>
        <w:rPr>
          <w:b/>
          <w:i w:val="0"/>
          <w:sz w:val="24"/>
        </w:rPr>
        <w:t>Table 4.</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 xml:space="preserve">The viral arm was built to exercise this host-specific presentation. Using rabies virus (species </w:t>
      </w:r>
      <w:r>
        <w:rPr>
          <w:b w:val="0"/>
          <w:i/>
          <w:sz w:val="24"/>
        </w:rPr>
        <w:t>Lyssavirus rabies</w:t>
      </w:r>
      <w:r>
        <w:rPr>
          <w:b w:val="0"/>
          <w:i w:val="0"/>
          <w:sz w:val="24"/>
        </w:rPr>
        <w:t>; RefSeq NC_001542), whose glycoprotein G is the only structural protein that elicits neutralising, protective antibodies (Cox et al., 1977), VaxForge ranked G second of five proteins and, more importantly, produced different bound-epitope sets for each of four natural mammalian hosts (glycoprotein G: 8 epitopes in mouse, 7 in human, 7 in bovine, 5 in pig). Pairwise host overlap of the glycoprotein G epitopes was well below unity (Table 5; Figure 5), so the choice of host materially changed the predicted repertoire. Two further four-host viruses reproduced the effect: vesicular stomatitis Indiana virus (</w:t>
      </w:r>
      <w:r>
        <w:rPr>
          <w:b w:val="0"/>
          <w:i/>
          <w:sz w:val="24"/>
        </w:rPr>
        <w:t>Vesiculovirus indiana</w:t>
      </w:r>
      <w:r>
        <w:rPr>
          <w:b w:val="0"/>
          <w:i w:val="0"/>
          <w:sz w:val="24"/>
        </w:rPr>
        <w:t>), a rhabdovirus relative of rabies virus, again placed glycoprotein G at rank 2 of 5 with human and pig overlap as low as 0.33, and encephalomyocarditis virus (</w:t>
      </w:r>
      <w:r>
        <w:rPr>
          <w:b w:val="0"/>
          <w:i/>
          <w:sz w:val="24"/>
        </w:rPr>
        <w:t>Cardiovirus A</w:t>
      </w:r>
      <w:r>
        <w:rPr>
          <w:b w:val="0"/>
          <w:i w:val="0"/>
          <w:sz w:val="24"/>
        </w:rPr>
        <w:t>) placed capsid VP1 at rank 3 of 11 with no shared epitopes at all between bovine and pig. NERVE 2.0 is bacterial only and Vaxign-ML has no host dimension (it ranked rabies glycoprotein G fourth of five with no host resolution), so this capability is unique to VaxForge among the three. Because rabies presents a single protective antigen, the rank statistic here is descriptive rather than inferential (permutation p = 0.40, n = 1), and population-coverage data were reported as unavailable for non-human hosts rather than imputed.</w:t>
      </w:r>
    </w:p>
    <w:p>
      <w:r>
        <w:rPr>
          <w:b/>
          <w:i w:val="0"/>
          <w:sz w:val="24"/>
        </w:rPr>
        <w:t>Table 5.</w:t>
      </w:r>
      <w:r>
        <w:rPr>
          <w:b w:val="0"/>
          <w:i w:val="0"/>
          <w:sz w:val="24"/>
        </w:rPr>
        <w:t xml:space="preserve"> Host-specific epitope resolution across three four-host viruses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Virus (species)</w:t>
            </w:r>
          </w:p>
        </w:tc>
        <w:tc>
          <w:tcPr>
            <w:tcW w:type="dxa" w:w="2160"/>
          </w:tcPr>
          <w:p>
            <w:pPr>
              <w:spacing w:line="240" w:lineRule="auto"/>
              <w:jc w:val="left"/>
            </w:pPr>
            <w:r/>
            <w:r>
              <w:rPr>
                <w:b/>
                <w:i w:val="0"/>
                <w:sz w:val="22"/>
              </w:rPr>
              <w:t>Ground-truth antigen</w:t>
            </w:r>
          </w:p>
        </w:tc>
        <w:tc>
          <w:tcPr>
            <w:tcW w:type="dxa" w:w="2160"/>
          </w:tcPr>
          <w:p>
            <w:pPr>
              <w:spacing w:line="240" w:lineRule="auto"/>
              <w:jc w:val="left"/>
            </w:pPr>
            <w:r/>
            <w:r>
              <w:rPr>
                <w:b/>
                <w:i w:val="0"/>
                <w:sz w:val="22"/>
              </w:rPr>
              <w:t>Rank</w:t>
            </w:r>
          </w:p>
        </w:tc>
        <w:tc>
          <w:tcPr>
            <w:tcW w:type="dxa" w:w="2160"/>
          </w:tcPr>
          <w:p>
            <w:pPr>
              <w:spacing w:line="240" w:lineRule="auto"/>
              <w:jc w:val="left"/>
            </w:pPr>
            <w:r/>
            <w:r>
              <w:rPr>
                <w:b/>
                <w:i w:val="0"/>
                <w:sz w:val="22"/>
              </w:rPr>
              <w:t>Host-pair epitope overlap (Jaccard)</w:t>
            </w:r>
          </w:p>
        </w:tc>
      </w:tr>
      <w:tr>
        <w:tc>
          <w:tcPr>
            <w:tcW w:type="dxa" w:w="2160"/>
          </w:tcPr>
          <w:p>
            <w:pPr>
              <w:spacing w:line="240" w:lineRule="auto"/>
              <w:jc w:val="left"/>
            </w:pPr>
            <w:r/>
            <w:r>
              <w:rPr>
                <w:b w:val="0"/>
                <w:i w:val="0"/>
                <w:sz w:val="22"/>
              </w:rPr>
              <w:t>Rabies virus (Lyssavirus rabies)</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0.75; human~mouse 0.67; human~pig 0.50</w:t>
            </w:r>
          </w:p>
        </w:tc>
      </w:tr>
      <w:tr>
        <w:tc>
          <w:tcPr>
            <w:tcW w:type="dxa" w:w="2160"/>
          </w:tcPr>
          <w:p>
            <w:pPr>
              <w:spacing w:line="240" w:lineRule="auto"/>
              <w:jc w:val="left"/>
            </w:pPr>
            <w:r/>
            <w:r>
              <w:rPr>
                <w:b w:val="0"/>
                <w:i w:val="0"/>
                <w:sz w:val="22"/>
              </w:rPr>
              <w:t>Vesicular stomatitis Indiana virus (Vesiculovirus indiana)</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0.78; human~pig 0.33</w:t>
            </w:r>
          </w:p>
        </w:tc>
      </w:tr>
      <w:tr>
        <w:tc>
          <w:tcPr>
            <w:tcW w:type="dxa" w:w="2160"/>
          </w:tcPr>
          <w:p>
            <w:pPr>
              <w:spacing w:line="240" w:lineRule="auto"/>
              <w:jc w:val="left"/>
            </w:pPr>
            <w:r/>
            <w:r>
              <w:rPr>
                <w:b w:val="0"/>
                <w:i w:val="0"/>
                <w:sz w:val="22"/>
              </w:rPr>
              <w:t>Encephalomyocarditis virus (Cardiovirus A)</w:t>
            </w:r>
          </w:p>
        </w:tc>
        <w:tc>
          <w:tcPr>
            <w:tcW w:type="dxa" w:w="2160"/>
          </w:tcPr>
          <w:p>
            <w:pPr>
              <w:spacing w:line="240" w:lineRule="auto"/>
              <w:jc w:val="left"/>
            </w:pPr>
            <w:r/>
            <w:r>
              <w:rPr>
                <w:b w:val="0"/>
                <w:i w:val="0"/>
                <w:sz w:val="22"/>
              </w:rPr>
              <w:t>capsid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human~mouse 0.78; bovine~pig 0.00</w:t>
            </w:r>
          </w:p>
        </w:tc>
      </w:tr>
    </w:tbl>
    <w:p/>
    <w:p>
      <w:pPr>
        <w:jc w:val="center"/>
      </w:pPr>
      <w:r>
        <w:drawing>
          <wp:inline xmlns:a="http://schemas.openxmlformats.org/drawingml/2006/main" xmlns:pic="http://schemas.openxmlformats.org/drawingml/2006/picture">
            <wp:extent cx="5669280" cy="3350029"/>
            <wp:docPr id="5" name="Picture 5"/>
            <wp:cNvGraphicFramePr>
              <a:graphicFrameLocks noChangeAspect="1"/>
            </wp:cNvGraphicFramePr>
            <a:graphic>
              <a:graphicData uri="http://schemas.openxmlformats.org/drawingml/2006/picture">
                <pic:pic>
                  <pic:nvPicPr>
                    <pic:cNvPr id="0" name="fig5_multihost_jaccard.png"/>
                    <pic:cNvPicPr/>
                  </pic:nvPicPr>
                  <pic:blipFill>
                    <a:blip r:embed="rId13"/>
                    <a:stretch>
                      <a:fillRect/>
                    </a:stretch>
                  </pic:blipFill>
                  <pic:spPr>
                    <a:xfrm>
                      <a:off x="0" y="0"/>
                      <a:ext cx="5669280" cy="3350029"/>
                    </a:xfrm>
                    <a:prstGeom prst="rect"/>
                  </pic:spPr>
                </pic:pic>
              </a:graphicData>
            </a:graphic>
          </wp:inline>
        </w:drawing>
      </w:r>
    </w:p>
    <w:p>
      <w:r>
        <w:rPr>
          <w:b/>
          <w:i w:val="0"/>
          <w:sz w:val="24"/>
        </w:rPr>
        <w:t>Figure 5.</w:t>
      </w:r>
      <w:r>
        <w:rPr>
          <w:b w:val="0"/>
          <w:i w:val="0"/>
          <w:sz w:val="24"/>
        </w:rPr>
        <w:t xml:space="preserve"> Host selection reshapes the rabies glycoprotein G epitope repertoire. Each bar is one pair of host species (for example human–pig), and its value is the Jaccard overlap between the glycoprotein G epitopes predicted for those two hosts: 1 would mean the two hosts share an identical epitope set and 0 means they share none. Every pair falls below one, so the epitopes predicted for one host do not fully transfer to another and the choice of host changes the predicted repertoire.</w:t>
      </w:r>
    </w:p>
    <w:p>
      <w:pPr>
        <w:spacing w:before="200"/>
      </w:pPr>
      <w:r>
        <w:rPr>
          <w:b/>
          <w:i w:val="0"/>
          <w:sz w:val="26"/>
        </w:rPr>
        <w:t>Discussion</w:t>
      </w:r>
    </w:p>
    <w:p>
      <w:r>
        <w:rPr>
          <w:b w:val="0"/>
          <w:i w:val="0"/>
          <w:sz w:val="24"/>
        </w:rPr>
        <w:t>Benchmarks of reverse vaccinology tools have usually reported enrichment or classifier accuracy on curated positive and negative sets (Goodswen et al., 2023). Our comparison adds a measure that is more decisive for a user: how many independently validated protective antigens each tool actually returns. On the licensed 4CMenB antigens (Pizza et al., 2000; Giuliani et al., 2006), VaxForge and Vaxign-ML recovered all four while NERVE 2.0 recovered one, and across four bacteria VaxForge reached 14 of 15 against 15 of 15 for Vaxign-ML and 9 of 15 for NERVE 2.0. The high recall of the independent machine-learning classifier is in line with the performance Ong et al. (2020) reported for Vaxign-ML, which strengthens these recall estimates rather than leaving them tool-specific. NERVE 2.0's shortfall traces to its hard selection cascade (Conte et al., 2024): antigens that its own score rated highly were removed by fixed localisation and adhesin cut-offs, which raised fold enrichment while lowering recall.</w:t>
      </w:r>
    </w:p>
    <w:p>
      <w:r>
        <w:rPr>
          <w:b w:val="0"/>
          <w:i w:val="0"/>
          <w:sz w:val="24"/>
        </w:rPr>
        <w:t>The clearest case is the Neisserial Heparin Binding Antigen, a licensed 4CMenB component that is not a classical virulence factor and is absent from curated virulence databases (Giuliani et al., 2006). Any pipeline that gates on a virulence-database hit loses it, whereas VaxForge's soft, score-weighted use of that evidence keeps it. This is consistent with a recurring caution in the reverse vaccinology methodology literature that rigid filters trade sensitivity for apparent specificity (Goodswen et al., 2023), and it argues for reporting recall over known antigens, not fold enrichment alone, when tools are compared.</w:t>
      </w:r>
    </w:p>
    <w:p>
      <w:r>
        <w:rPr>
          <w:b w:val="0"/>
          <w:i w:val="0"/>
          <w:sz w:val="24"/>
        </w:rPr>
        <w:t>The second distinguishing feature, host-specific epitope prediction, addresses a gap that bacterial-oriented tools leave open. NetMHCpan and NetMHCIIpan already support many non-human alleles (Reynisson et al., 2020), yet reverse vaccinology pipelines typically apply them against a single human reference. Because rabies virus and the two additional viruses infect all four mammalian hosts examined (Cox et al., 1977; Fooks et al., 2017), we could compute an honest per-host repertoire, and the glycoprotein G epitope sets differed substantially between species (pairwise Jaccard 0.50 to 0.78, and no shared epitopes between bovine and pig for encephalomyocarditis VP1). For the veterinary and zoonotic targets that dominate the practical vaccine burden (Fooks et al., 2017; Hampson et al., 2015), a human-only epitope layer would misstate presentation, so this capability is a concrete advantage rather than a cosmetic one. VaxForge also continues past ranking into construct assembly and an in silico immunisation readout, so its output is a candidate immunogen rather than a list.</w:t>
      </w:r>
    </w:p>
    <w:p>
      <w:r>
        <w:rPr>
          <w:b w:val="0"/>
          <w:i w:val="0"/>
          <w:sz w:val="24"/>
        </w:rPr>
        <w:t xml:space="preserve">Several limitations bound these claims. ActA of </w:t>
      </w:r>
      <w:r>
        <w:rPr>
          <w:b w:val="0"/>
          <w:i/>
          <w:sz w:val="24"/>
        </w:rPr>
        <w:t>L. monocytogenes</w:t>
      </w:r>
      <w:r>
        <w:rPr>
          <w:b w:val="0"/>
          <w:i w:val="0"/>
          <w:sz w:val="24"/>
        </w:rPr>
        <w:t xml:space="preserve"> was missed by VaxForge and also ranked last by the independent tool, so it is a genuinely difficult target rather than a pipeline fault; its recovery would need conformational or context-specific signals that a linear-epitope pipeline does not model, and most B-cell epitopes are in any case discontinuous (Michalik et al., 2016). The default toxicity filter can discard peptides from toxin antigens such as listeriolysin O, a conservative choice we did not tune for the benchmark. We report area-under-curve only as a secondary measure with an explicit small-sample caveat, because four to five positives per pathogen cannot resolve AUC differences, and we make no claim of superior discrimination on that basis. Finally, whole-proteome VaxForge runs are impractical on current CPU-only hardware, so the meningococcal comparison used matched subsamples that are fair across tools while full proteomes were run only for the faster comparators.</w:t>
      </w:r>
    </w:p>
    <w:p>
      <w:r>
        <w:rPr>
          <w:b w:val="0"/>
          <w:i w:val="0"/>
          <w:sz w:val="24"/>
        </w:rPr>
        <w:t>Two directions follow. A GPU backend would allow whole-proteome VaxForge runs and complete the head-to-head at full scale for every pathogen, and the cross-species divergence of the viral glycoprotein epitopes is a concrete hypothesis that binding and immunisation experiments could test. Both extensions fit the existing framework without redesign.</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